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rsidTr="002C2D3A">
        <w:trPr>
          <w:trHeight w:val="340"/>
        </w:trPr>
        <w:tc>
          <w:tcPr>
            <w:tcW w:w="9918" w:type="dxa"/>
            <w:gridSpan w:val="4"/>
            <w:shd w:val="clear" w:color="auto" w:fill="404040" w:themeFill="text1" w:themeFillTint="BF"/>
            <w:vAlign w:val="center"/>
          </w:tcPr>
          <w:p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rsidTr="004B0FA0">
        <w:trPr>
          <w:trHeight w:val="340"/>
        </w:trPr>
        <w:tc>
          <w:tcPr>
            <w:tcW w:w="3090" w:type="dxa"/>
            <w:shd w:val="clear" w:color="auto" w:fill="F2F2F2" w:themeFill="background1" w:themeFillShade="F2"/>
            <w:vAlign w:val="center"/>
          </w:tcPr>
          <w:p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rsidR="00A70556" w:rsidRDefault="004854E5" w:rsidP="0034573D">
            <w:pPr>
              <w:spacing w:after="0" w:line="276" w:lineRule="auto"/>
            </w:pPr>
            <w:r>
              <w:t>E085 Fortalecimiento Institucional y Capacitación para la Seguridad Pública</w:t>
            </w:r>
          </w:p>
        </w:tc>
      </w:tr>
      <w:tr w:rsidR="00B861E0" w:rsidRPr="00A70556" w:rsidTr="009F4211">
        <w:trPr>
          <w:trHeight w:val="340"/>
        </w:trPr>
        <w:tc>
          <w:tcPr>
            <w:tcW w:w="4712" w:type="dxa"/>
            <w:gridSpan w:val="2"/>
            <w:shd w:val="clear" w:color="auto" w:fill="F2F2F2" w:themeFill="background1" w:themeFillShade="F2"/>
            <w:vAlign w:val="center"/>
          </w:tcPr>
          <w:p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4854E5" w:rsidTr="009F4211">
        <w:trPr>
          <w:trHeight w:val="340"/>
        </w:trPr>
        <w:tc>
          <w:tcPr>
            <w:tcW w:w="4712" w:type="dxa"/>
            <w:gridSpan w:val="2"/>
            <w:shd w:val="clear" w:color="auto" w:fill="auto"/>
            <w:vAlign w:val="center"/>
          </w:tcPr>
          <w:p w:rsidR="00B861E0" w:rsidRPr="004854E5" w:rsidRDefault="004854E5" w:rsidP="00A123E6">
            <w:pPr>
              <w:spacing w:after="0" w:line="276" w:lineRule="auto"/>
              <w:jc w:val="center"/>
              <w:rPr>
                <w:bCs/>
              </w:rPr>
            </w:pPr>
            <w:r w:rsidRPr="004854E5">
              <w:rPr>
                <w:bCs/>
              </w:rPr>
              <w:t>01/01/2024</w:t>
            </w:r>
          </w:p>
        </w:tc>
        <w:tc>
          <w:tcPr>
            <w:tcW w:w="5206" w:type="dxa"/>
            <w:gridSpan w:val="2"/>
            <w:shd w:val="clear" w:color="auto" w:fill="auto"/>
            <w:vAlign w:val="center"/>
          </w:tcPr>
          <w:p w:rsidR="00B861E0" w:rsidRPr="004854E5" w:rsidRDefault="004854E5" w:rsidP="00A123E6">
            <w:pPr>
              <w:spacing w:after="0" w:line="276" w:lineRule="auto"/>
              <w:jc w:val="center"/>
              <w:rPr>
                <w:bCs/>
              </w:rPr>
            </w:pPr>
            <w:r w:rsidRPr="004854E5">
              <w:rPr>
                <w:bCs/>
              </w:rPr>
              <w:t>30/06/2024</w:t>
            </w:r>
          </w:p>
        </w:tc>
      </w:tr>
      <w:tr w:rsidR="00A70556" w:rsidTr="004B0FA0">
        <w:trPr>
          <w:trHeight w:val="340"/>
        </w:trPr>
        <w:tc>
          <w:tcPr>
            <w:tcW w:w="9918" w:type="dxa"/>
            <w:gridSpan w:val="4"/>
            <w:shd w:val="clear" w:color="auto" w:fill="F2F2F2" w:themeFill="background1" w:themeFillShade="F2"/>
            <w:vAlign w:val="center"/>
          </w:tcPr>
          <w:p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4854E5" w:rsidTr="00E06043">
        <w:trPr>
          <w:trHeight w:val="340"/>
        </w:trPr>
        <w:tc>
          <w:tcPr>
            <w:tcW w:w="9918" w:type="dxa"/>
            <w:gridSpan w:val="4"/>
            <w:shd w:val="clear" w:color="auto" w:fill="auto"/>
          </w:tcPr>
          <w:p w:rsidR="009F4211" w:rsidRPr="004854E5" w:rsidRDefault="004854E5" w:rsidP="009F4211">
            <w:pPr>
              <w:pStyle w:val="Prrafodelista"/>
              <w:spacing w:after="0" w:line="276" w:lineRule="auto"/>
              <w:ind w:left="37"/>
              <w:jc w:val="both"/>
              <w:rPr>
                <w:bCs/>
              </w:rPr>
            </w:pPr>
            <w:r w:rsidRPr="004854E5">
              <w:rPr>
                <w:bCs/>
              </w:rPr>
              <w:t>C. Alexander Leonel Aguilar Aguilar, Titular de la Unidad de Vinculación y Transparencia</w:t>
            </w:r>
          </w:p>
        </w:tc>
      </w:tr>
      <w:tr w:rsidR="00A70556" w:rsidTr="004B0FA0">
        <w:trPr>
          <w:gridAfter w:val="1"/>
          <w:wAfter w:w="8" w:type="dxa"/>
          <w:trHeight w:val="340"/>
        </w:trPr>
        <w:tc>
          <w:tcPr>
            <w:tcW w:w="9910" w:type="dxa"/>
            <w:gridSpan w:val="3"/>
            <w:shd w:val="clear" w:color="auto" w:fill="F2F2F2" w:themeFill="background1" w:themeFillShade="F2"/>
            <w:vAlign w:val="center"/>
          </w:tcPr>
          <w:p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rsidR="00B920F2" w:rsidRDefault="004854E5" w:rsidP="00521401">
      <w:pPr>
        <w:pStyle w:val="Prrafodelista"/>
        <w:spacing w:after="0" w:line="276" w:lineRule="auto"/>
        <w:ind w:left="142"/>
        <w:jc w:val="both"/>
      </w:pPr>
      <w:r w:rsidRPr="004854E5">
        <w:t xml:space="preserve">Evaluar el diseño del Programa presupuestario (Pp) E085 </w:t>
      </w:r>
      <w:r w:rsidRPr="004854E5">
        <w:rPr>
          <w:lang w:val="es-ES"/>
        </w:rPr>
        <w:t>Fortalecimiento Institucional y Capacitación para la Seguridad Pública</w:t>
      </w:r>
      <w:r w:rsidRPr="004854E5">
        <w:t xml:space="preserve">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rsidTr="00090637">
        <w:trPr>
          <w:trHeight w:val="340"/>
        </w:trPr>
        <w:tc>
          <w:tcPr>
            <w:tcW w:w="9910" w:type="dxa"/>
            <w:tcBorders>
              <w:top w:val="nil"/>
              <w:left w:val="nil"/>
              <w:bottom w:val="nil"/>
              <w:right w:val="nil"/>
            </w:tcBorders>
            <w:shd w:val="clear" w:color="auto" w:fill="F2F2F2" w:themeFill="background1" w:themeFillShade="F2"/>
            <w:vAlign w:val="center"/>
          </w:tcPr>
          <w:p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rsidR="004854E5" w:rsidRDefault="004854E5" w:rsidP="004854E5">
      <w:pPr>
        <w:pStyle w:val="Prrafodelista"/>
        <w:numPr>
          <w:ilvl w:val="0"/>
          <w:numId w:val="2"/>
        </w:numPr>
        <w:spacing w:after="0" w:line="240" w:lineRule="auto"/>
        <w:jc w:val="both"/>
      </w:pPr>
      <w:r>
        <w:t>Analizar el problema o necesidad pública que justifica la creación o cambio sustancial del Pp.</w:t>
      </w:r>
    </w:p>
    <w:p w:rsidR="004854E5" w:rsidRDefault="004854E5" w:rsidP="004854E5">
      <w:pPr>
        <w:pStyle w:val="Prrafodelista"/>
        <w:numPr>
          <w:ilvl w:val="0"/>
          <w:numId w:val="2"/>
        </w:numPr>
        <w:spacing w:after="0" w:line="240" w:lineRule="auto"/>
        <w:jc w:val="both"/>
      </w:pPr>
      <w:r>
        <w:t>Analizar la pertinencia del diseño del Programa presupuestario respecto al problema o necesidad pública que busca atender.</w:t>
      </w:r>
    </w:p>
    <w:p w:rsidR="004854E5" w:rsidRDefault="004854E5" w:rsidP="004854E5">
      <w:pPr>
        <w:pStyle w:val="Prrafodelista"/>
        <w:numPr>
          <w:ilvl w:val="0"/>
          <w:numId w:val="2"/>
        </w:numPr>
        <w:spacing w:after="0" w:line="240" w:lineRule="auto"/>
        <w:jc w:val="both"/>
      </w:pPr>
      <w:r>
        <w:t xml:space="preserve">Analizar la consistencia entre el diseño del Programa presupuestario y la normatividad vigente aplicable. </w:t>
      </w:r>
    </w:p>
    <w:p w:rsidR="004854E5" w:rsidRDefault="004854E5" w:rsidP="004854E5">
      <w:pPr>
        <w:pStyle w:val="Prrafodelista"/>
        <w:numPr>
          <w:ilvl w:val="0"/>
          <w:numId w:val="2"/>
        </w:numPr>
        <w:spacing w:after="0" w:line="240" w:lineRule="auto"/>
        <w:jc w:val="both"/>
      </w:pPr>
      <w:r>
        <w:t xml:space="preserve">Analizar la contribución del Programa presupuestario al cumplimiento de los objetivos de la planeación estatal, nacional y estratégicos. </w:t>
      </w:r>
    </w:p>
    <w:p w:rsidR="004854E5" w:rsidRDefault="004854E5" w:rsidP="004854E5">
      <w:pPr>
        <w:pStyle w:val="Prrafodelista"/>
        <w:numPr>
          <w:ilvl w:val="0"/>
          <w:numId w:val="2"/>
        </w:numPr>
        <w:spacing w:after="0" w:line="240" w:lineRule="auto"/>
        <w:jc w:val="both"/>
      </w:pPr>
      <w:r>
        <w:t>Identificar posibles complementariedades o similitudes, así como riesgo de duplicidades con otros Programa presupuestario de la administración pública estatal.</w:t>
      </w:r>
    </w:p>
    <w:p w:rsidR="004854E5" w:rsidRDefault="004854E5" w:rsidP="004854E5">
      <w:pPr>
        <w:pStyle w:val="Prrafodelista"/>
        <w:numPr>
          <w:ilvl w:val="0"/>
          <w:numId w:val="2"/>
        </w:numPr>
        <w:spacing w:after="0" w:line="240" w:lineRule="auto"/>
        <w:jc w:val="both"/>
      </w:pPr>
      <w:r>
        <w:t>Analizar la consistencia del Instrumento de Seguimiento del Desempeño respecto al diseño del Programa presupuestario</w:t>
      </w:r>
    </w:p>
    <w:tbl>
      <w:tblPr>
        <w:tblStyle w:val="Tablaconcuadrcula"/>
        <w:tblW w:w="0" w:type="auto"/>
        <w:tblLook w:val="04A0" w:firstRow="1" w:lastRow="0" w:firstColumn="1" w:lastColumn="0" w:noHBand="0" w:noVBand="1"/>
      </w:tblPr>
      <w:tblGrid>
        <w:gridCol w:w="9910"/>
      </w:tblGrid>
      <w:tr w:rsidR="005D1F4D" w:rsidTr="00090637">
        <w:trPr>
          <w:trHeight w:val="340"/>
        </w:trPr>
        <w:tc>
          <w:tcPr>
            <w:tcW w:w="9910" w:type="dxa"/>
            <w:tcBorders>
              <w:top w:val="nil"/>
              <w:left w:val="nil"/>
              <w:bottom w:val="nil"/>
              <w:right w:val="nil"/>
            </w:tcBorders>
            <w:shd w:val="clear" w:color="auto" w:fill="F2F2F2" w:themeFill="background1" w:themeFillShade="F2"/>
            <w:vAlign w:val="center"/>
          </w:tcPr>
          <w:p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4854E5">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rsidTr="0034573D">
        <w:trPr>
          <w:trHeight w:val="340"/>
        </w:trPr>
        <w:tc>
          <w:tcPr>
            <w:tcW w:w="9923" w:type="dxa"/>
            <w:gridSpan w:val="4"/>
            <w:shd w:val="clear" w:color="auto" w:fill="F2F2F2" w:themeFill="background1" w:themeFillShade="F2"/>
            <w:vAlign w:val="center"/>
          </w:tcPr>
          <w:p w:rsidR="00581B4A" w:rsidRPr="009F31DF" w:rsidRDefault="00581B4A" w:rsidP="00090637">
            <w:pPr>
              <w:spacing w:after="0" w:line="276" w:lineRule="auto"/>
              <w:jc w:val="both"/>
              <w:rPr>
                <w:b/>
                <w:bCs/>
              </w:rPr>
            </w:pPr>
            <w:r w:rsidRPr="009F31DF">
              <w:rPr>
                <w:b/>
                <w:bCs/>
              </w:rPr>
              <w:t>Instrumentos de Recolección de Información:</w:t>
            </w:r>
          </w:p>
        </w:tc>
      </w:tr>
      <w:tr w:rsidR="00521401" w:rsidTr="0034573D">
        <w:trPr>
          <w:trHeight w:val="340"/>
        </w:trPr>
        <w:tc>
          <w:tcPr>
            <w:tcW w:w="2694"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rsidR="00581B4A" w:rsidRPr="00581B4A" w:rsidRDefault="00581B4A" w:rsidP="00090637">
            <w:pPr>
              <w:spacing w:after="0" w:line="276" w:lineRule="auto"/>
              <w:jc w:val="center"/>
              <w:rPr>
                <w:b/>
                <w:bCs/>
              </w:rPr>
            </w:pPr>
            <w:r w:rsidRPr="00581B4A">
              <w:rPr>
                <w:b/>
                <w:bCs/>
              </w:rPr>
              <w:t>Especifique:</w:t>
            </w:r>
          </w:p>
        </w:tc>
      </w:tr>
      <w:tr w:rsidR="00521401" w:rsidTr="0034573D">
        <w:trPr>
          <w:trHeight w:val="576"/>
        </w:trPr>
        <w:tc>
          <w:tcPr>
            <w:tcW w:w="2694" w:type="dxa"/>
            <w:vAlign w:val="center"/>
          </w:tcPr>
          <w:p w:rsidR="00581B4A" w:rsidRPr="0034573D" w:rsidRDefault="0034573D" w:rsidP="0034573D">
            <w:pPr>
              <w:spacing w:after="0" w:line="240" w:lineRule="auto"/>
              <w:jc w:val="center"/>
              <w:rPr>
                <w:bCs/>
              </w:rPr>
            </w:pPr>
            <w:r w:rsidRPr="0034573D">
              <w:rPr>
                <w:bCs/>
              </w:rPr>
              <w:t>X</w:t>
            </w:r>
          </w:p>
        </w:tc>
        <w:tc>
          <w:tcPr>
            <w:tcW w:w="2126" w:type="dxa"/>
            <w:vAlign w:val="center"/>
          </w:tcPr>
          <w:p w:rsidR="00581B4A" w:rsidRPr="00581B4A" w:rsidRDefault="00581B4A" w:rsidP="00090637">
            <w:pPr>
              <w:spacing w:after="0" w:line="276" w:lineRule="auto"/>
              <w:jc w:val="center"/>
              <w:rPr>
                <w:b/>
                <w:bCs/>
              </w:rPr>
            </w:pPr>
          </w:p>
        </w:tc>
        <w:tc>
          <w:tcPr>
            <w:tcW w:w="1843" w:type="dxa"/>
            <w:vAlign w:val="center"/>
          </w:tcPr>
          <w:p w:rsidR="00581B4A" w:rsidRPr="00581B4A" w:rsidRDefault="00581B4A" w:rsidP="00090637">
            <w:pPr>
              <w:spacing w:after="0" w:line="276" w:lineRule="auto"/>
              <w:jc w:val="center"/>
            </w:pPr>
            <w:r w:rsidRPr="00581B4A">
              <w:t>X</w:t>
            </w:r>
          </w:p>
        </w:tc>
        <w:tc>
          <w:tcPr>
            <w:tcW w:w="3260" w:type="dxa"/>
            <w:vAlign w:val="center"/>
          </w:tcPr>
          <w:p w:rsidR="00581B4A" w:rsidRPr="00581B4A" w:rsidRDefault="00581B4A" w:rsidP="00090637">
            <w:pPr>
              <w:spacing w:after="0" w:line="276" w:lineRule="auto"/>
              <w:jc w:val="center"/>
            </w:pPr>
            <w:r w:rsidRPr="00581B4A">
              <w:t>Esquema de la Evaluación</w:t>
            </w:r>
          </w:p>
          <w:p w:rsidR="00581B4A" w:rsidRPr="00581B4A" w:rsidRDefault="00EC7832" w:rsidP="004854E5">
            <w:pPr>
              <w:spacing w:after="0" w:line="276" w:lineRule="auto"/>
              <w:jc w:val="center"/>
              <w:rPr>
                <w:b/>
                <w:bCs/>
              </w:rPr>
            </w:pPr>
            <w:r>
              <w:t>d</w:t>
            </w:r>
            <w:r w:rsidR="0034573D">
              <w:t xml:space="preserve">e </w:t>
            </w:r>
            <w:r w:rsidR="004854E5">
              <w:t>Diseño</w:t>
            </w:r>
          </w:p>
        </w:tc>
      </w:tr>
      <w:tr w:rsidR="005D1F4D" w:rsidTr="0034573D">
        <w:trPr>
          <w:trHeight w:val="340"/>
        </w:trPr>
        <w:tc>
          <w:tcPr>
            <w:tcW w:w="9923" w:type="dxa"/>
            <w:gridSpan w:val="4"/>
            <w:shd w:val="clear" w:color="auto" w:fill="F2F2F2" w:themeFill="background1" w:themeFillShade="F2"/>
            <w:vAlign w:val="center"/>
          </w:tcPr>
          <w:p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rsidR="009F31DF" w:rsidRDefault="009F31DF" w:rsidP="00A14427">
      <w:pPr>
        <w:pStyle w:val="Prrafodelista"/>
        <w:numPr>
          <w:ilvl w:val="0"/>
          <w:numId w:val="3"/>
        </w:numPr>
        <w:spacing w:line="276" w:lineRule="auto"/>
        <w:ind w:left="567" w:hanging="219"/>
        <w:jc w:val="both"/>
      </w:pPr>
      <w:r w:rsidRPr="00AB2884">
        <w:rPr>
          <w:b/>
          <w:bCs/>
        </w:rPr>
        <w:t>Recolección de información:</w:t>
      </w:r>
      <w:r>
        <w:t xml:space="preserve"> </w:t>
      </w:r>
      <w:r w:rsidR="00A14427">
        <w:t xml:space="preserve">En esta </w:t>
      </w:r>
      <w:r>
        <w:t xml:space="preserve">fase </w:t>
      </w:r>
      <w:r w:rsidR="00A14427">
        <w:t>se realizaron diversas reuniones con las áreas sustantivas de la Universidad para recabar la información necesaria</w:t>
      </w:r>
      <w:r>
        <w:t xml:space="preserve"> para el análisis sistemático realizado en apego a los TdR aplicados.</w:t>
      </w:r>
    </w:p>
    <w:p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w:t>
      </w:r>
      <w:r w:rsidR="00A14427">
        <w:t xml:space="preserve">En esta </w:t>
      </w:r>
      <w:r w:rsidRPr="006D38E2">
        <w:t xml:space="preserve">fase </w:t>
      </w:r>
      <w:r w:rsidR="00A14427">
        <w:t xml:space="preserve">se desarrollaron </w:t>
      </w:r>
      <w:r w:rsidRPr="006D38E2">
        <w:t>los procesos y procedimientos de análisis minucioso, así como la conformación de los documentos bases para la obtención de resultados y hallazgos de la evaluación</w:t>
      </w:r>
      <w:r w:rsidR="00634046">
        <w:t>.</w:t>
      </w:r>
    </w:p>
    <w:p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rsidTr="002C2D3A">
        <w:trPr>
          <w:trHeight w:val="340"/>
          <w:tblHeader/>
        </w:trPr>
        <w:tc>
          <w:tcPr>
            <w:tcW w:w="9910" w:type="dxa"/>
            <w:tcBorders>
              <w:top w:val="nil"/>
              <w:left w:val="nil"/>
              <w:bottom w:val="nil"/>
              <w:right w:val="nil"/>
            </w:tcBorders>
            <w:shd w:val="clear" w:color="auto" w:fill="404040" w:themeFill="text1" w:themeFillTint="BF"/>
            <w:vAlign w:val="center"/>
          </w:tcPr>
          <w:p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rsidTr="00090637">
        <w:trPr>
          <w:trHeight w:val="340"/>
        </w:trPr>
        <w:tc>
          <w:tcPr>
            <w:tcW w:w="9910" w:type="dxa"/>
            <w:tcBorders>
              <w:top w:val="nil"/>
              <w:left w:val="nil"/>
              <w:bottom w:val="nil"/>
              <w:right w:val="nil"/>
            </w:tcBorders>
            <w:shd w:val="clear" w:color="auto" w:fill="F2F2F2" w:themeFill="background1" w:themeFillShade="F2"/>
            <w:vAlign w:val="center"/>
          </w:tcPr>
          <w:p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rsidR="004854E5" w:rsidRDefault="004854E5" w:rsidP="00220E64">
      <w:pPr>
        <w:ind w:left="142" w:right="139"/>
        <w:jc w:val="both"/>
      </w:pPr>
      <w:r w:rsidRPr="00672D5B">
        <w:t xml:space="preserve">De acuerdo al diagnóstico realizado se detecta la necesidad de contar con cuerpos de seguridad y procuración de justicia con formación técnica, táctica y académica que conlleva a la ineficiencia por parte de las instituciones al momento de llevar a cabo las funciones de su competencia, por lo que se considera primordial atender </w:t>
      </w:r>
      <w:r>
        <w:t xml:space="preserve">esta necesidad para que se pueda ofrecer el servicio público de calidad, que exige la sociedad con estricto apego al programa rector de profesionalización que emite el Secretariado Ejecutivo del Sistema Nacional de Seguridad Pública (SESNSP). </w:t>
      </w:r>
    </w:p>
    <w:p w:rsidR="004854E5" w:rsidRDefault="004854E5" w:rsidP="00220E64">
      <w:pPr>
        <w:ind w:left="142" w:right="139"/>
        <w:jc w:val="both"/>
      </w:pPr>
      <w:r>
        <w:t>En cuanto a la aplicación de la Metodología de Marco Lógico se encontraron las siguientes debilidades, en la definición de problema central “Déficit en el número de policías, falta de capacitación y preparación académica”, este problema está más allá del alcance de las atribuciones conferidas a la Universidad de la Policía, la confusión en la definición del problema radica en que se para el ejercicio 2022, este Pp se encontraba alineado a un Plan Estatal de Desarrollo y un Programa sectorial sin vigencia, en donde estaba sectorizado al ramo de Seguridad Pública, siendo el organismo ejecutor INECIPE.</w:t>
      </w:r>
    </w:p>
    <w:p w:rsidR="004854E5" w:rsidRDefault="004854E5" w:rsidP="00220E64">
      <w:pPr>
        <w:ind w:left="142" w:right="139"/>
        <w:jc w:val="both"/>
      </w:pPr>
      <w:r>
        <w:t>Esta conceptualización del problema se refleja en una definición errónea Fin cuyo objetivo es “Contribuir a la disminución del déficit policial mediante la profesionalización en formaciones iníciales a cadetes, capacitaciones constantes para policías preventivos, policías de investigación”, y el indicador determinado “Tasa de personal policial por cada mil habitantes”</w:t>
      </w:r>
    </w:p>
    <w:p w:rsidR="004854E5" w:rsidRDefault="004854E5" w:rsidP="00220E64">
      <w:pPr>
        <w:ind w:left="142" w:right="139"/>
        <w:jc w:val="both"/>
      </w:pPr>
      <w:r>
        <w:t>En los componentes que integran la MIR, no se consideran todos los servicios que proporciona la UNIPOL y por consiguiente las actividades definidas no son las suficiente para generar esos servicios.</w:t>
      </w:r>
    </w:p>
    <w:p w:rsidR="004854E5" w:rsidRDefault="004854E5" w:rsidP="00220E64">
      <w:pPr>
        <w:ind w:left="142" w:right="139"/>
        <w:jc w:val="both"/>
      </w:pPr>
      <w:r>
        <w:t>Al proporcionarse fichas técnicas de los indicadores fue imposible valorar cumplimiento de los criterios para la elección de los indicadores CREMAA y sus características.</w:t>
      </w:r>
    </w:p>
    <w:p w:rsidR="004854E5" w:rsidRDefault="004854E5" w:rsidP="00220E64">
      <w:pPr>
        <w:ind w:left="142" w:right="139"/>
        <w:jc w:val="both"/>
      </w:pPr>
      <w:r>
        <w:t>Con referencia a la cobertura del programa presupuestario, se encontró como deficiencia inexistencia de una metodología para la determinación de la población potencial y objetivo.</w:t>
      </w:r>
    </w:p>
    <w:p w:rsidR="004854E5" w:rsidRDefault="004854E5" w:rsidP="00220E64">
      <w:pPr>
        <w:ind w:left="142" w:right="139"/>
        <w:jc w:val="both"/>
      </w:pPr>
      <w:r>
        <w:t>Del análisis de la MIR vigente se advierte que se cumple con alineación estratégica al Plan Estatal de Desarrollo 2022 - 2027 y su programa sectorial, así como la actualización al ramo de Gobernación, al ser la UNIPOL un organismo descentralizado de la Secretaría General de Gobierno.</w:t>
      </w:r>
    </w:p>
    <w:p w:rsidR="00672D5B" w:rsidRPr="002F6A18" w:rsidRDefault="004854E5" w:rsidP="00220E64">
      <w:pPr>
        <w:ind w:left="142" w:right="139"/>
        <w:jc w:val="both"/>
      </w:pPr>
      <w:r>
        <w:t>Además, se constató que se corrigió la definición del problema central, se ampliaron los componentes considerando todos los servicios que presta la Universidad y se detallaron las actividades necesarias generarlos.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rsidTr="00090637">
        <w:tc>
          <w:tcPr>
            <w:tcW w:w="9910" w:type="dxa"/>
            <w:shd w:val="clear" w:color="auto" w:fill="F2F2F2" w:themeFill="background1" w:themeFillShade="F2"/>
            <w:vAlign w:val="center"/>
          </w:tcPr>
          <w:p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rsidR="00B72B03" w:rsidRDefault="00B72B03" w:rsidP="00975299">
      <w:pPr>
        <w:pStyle w:val="Prrafodelista"/>
        <w:numPr>
          <w:ilvl w:val="2"/>
          <w:numId w:val="5"/>
        </w:numPr>
        <w:spacing w:after="0" w:line="276" w:lineRule="auto"/>
        <w:ind w:left="993" w:hanging="567"/>
        <w:jc w:val="both"/>
        <w:rPr>
          <w:b/>
          <w:bCs/>
        </w:rPr>
      </w:pPr>
      <w:r>
        <w:rPr>
          <w:b/>
          <w:bCs/>
        </w:rPr>
        <w:t>Fortalezas</w:t>
      </w:r>
      <w:r w:rsidR="00220E64">
        <w:rPr>
          <w:b/>
          <w:bCs/>
        </w:rPr>
        <w:t xml:space="preserve"> y oportunidades</w:t>
      </w:r>
    </w:p>
    <w:p w:rsidR="00220E64" w:rsidRDefault="00220E64" w:rsidP="00220E64">
      <w:pPr>
        <w:pStyle w:val="Prrafodelista"/>
        <w:numPr>
          <w:ilvl w:val="0"/>
          <w:numId w:val="8"/>
        </w:numPr>
        <w:spacing w:line="276" w:lineRule="auto"/>
        <w:jc w:val="both"/>
      </w:pPr>
      <w:r>
        <w:t>El Pp cuenta con un diagnóstico a través del Programa Sectorial de Seguridad Pública 2017 – 2021.</w:t>
      </w:r>
    </w:p>
    <w:p w:rsidR="00220E64" w:rsidRDefault="00220E64" w:rsidP="00220E64">
      <w:pPr>
        <w:pStyle w:val="Prrafodelista"/>
        <w:numPr>
          <w:ilvl w:val="0"/>
          <w:numId w:val="8"/>
        </w:numPr>
        <w:spacing w:line="276" w:lineRule="auto"/>
        <w:jc w:val="both"/>
      </w:pPr>
      <w:r>
        <w:t>El problema se encuentra definido de manera clara y concreta.</w:t>
      </w:r>
    </w:p>
    <w:p w:rsidR="00220E64" w:rsidRDefault="00220E64" w:rsidP="00220E64">
      <w:pPr>
        <w:pStyle w:val="Prrafodelista"/>
        <w:numPr>
          <w:ilvl w:val="0"/>
          <w:numId w:val="8"/>
        </w:numPr>
        <w:spacing w:line="276" w:lineRule="auto"/>
        <w:jc w:val="both"/>
      </w:pPr>
      <w:r>
        <w:t>Las causas definidas como origen del problema planteado, coinciden con las situaciones desfavorables identificadas en el diagnóstico.</w:t>
      </w:r>
    </w:p>
    <w:p w:rsidR="00220E64" w:rsidRDefault="00220E64" w:rsidP="00220E64">
      <w:pPr>
        <w:pStyle w:val="Prrafodelista"/>
        <w:numPr>
          <w:ilvl w:val="0"/>
          <w:numId w:val="8"/>
        </w:numPr>
        <w:spacing w:line="276" w:lineRule="auto"/>
        <w:jc w:val="both"/>
      </w:pPr>
      <w:r>
        <w:t>El Pp cumple con la identificación de la población objetivo.</w:t>
      </w:r>
    </w:p>
    <w:p w:rsidR="00220E64" w:rsidRDefault="00220E64" w:rsidP="00220E64">
      <w:pPr>
        <w:pStyle w:val="Prrafodelista"/>
        <w:numPr>
          <w:ilvl w:val="0"/>
          <w:numId w:val="8"/>
        </w:numPr>
        <w:spacing w:line="276" w:lineRule="auto"/>
        <w:jc w:val="both"/>
      </w:pPr>
      <w:r>
        <w:lastRenderedPageBreak/>
        <w:t>El objetivo es único y atiende a la solución del problema planteado, en congruencia con las facultades de la Universidad de conformidad con el marco normativo.</w:t>
      </w:r>
    </w:p>
    <w:p w:rsidR="00220E64" w:rsidRDefault="00220E64" w:rsidP="00220E64">
      <w:pPr>
        <w:pStyle w:val="Prrafodelista"/>
        <w:numPr>
          <w:ilvl w:val="0"/>
          <w:numId w:val="8"/>
        </w:numPr>
        <w:spacing w:line="276" w:lineRule="auto"/>
        <w:jc w:val="both"/>
      </w:pPr>
      <w:r>
        <w:t>Los servicios proporcionados por el Pp corresponden a la solución de las causas planteadas en el árbol de problemas.</w:t>
      </w:r>
    </w:p>
    <w:p w:rsidR="00220E64" w:rsidRDefault="00220E64" w:rsidP="00220E64">
      <w:pPr>
        <w:pStyle w:val="Prrafodelista"/>
        <w:numPr>
          <w:ilvl w:val="0"/>
          <w:numId w:val="8"/>
        </w:numPr>
        <w:spacing w:line="276" w:lineRule="auto"/>
        <w:jc w:val="both"/>
      </w:pPr>
      <w:r>
        <w:t>Los servicios proporcionados por el Pp son necesarios para el logro del objetivo central.</w:t>
      </w:r>
    </w:p>
    <w:p w:rsidR="00220E64" w:rsidRDefault="00220E64" w:rsidP="00220E64">
      <w:pPr>
        <w:pStyle w:val="Prrafodelista"/>
        <w:numPr>
          <w:ilvl w:val="0"/>
          <w:numId w:val="8"/>
        </w:numPr>
        <w:spacing w:line="276" w:lineRule="auto"/>
        <w:jc w:val="both"/>
      </w:pPr>
      <w:r>
        <w:t>Los servicios son factibles de entregar.</w:t>
      </w:r>
    </w:p>
    <w:p w:rsidR="00220E64" w:rsidRDefault="00220E64" w:rsidP="00220E64">
      <w:pPr>
        <w:pStyle w:val="Prrafodelista"/>
        <w:numPr>
          <w:ilvl w:val="0"/>
          <w:numId w:val="8"/>
        </w:numPr>
        <w:spacing w:line="276" w:lineRule="auto"/>
        <w:jc w:val="both"/>
      </w:pPr>
      <w:r>
        <w:t>El Plan Estatal de Desarrollo, así como en el Programa Sectorial de Seguridad Pública 2017-2021 se hace un diagnóstico de la situación en temas de seguridad pública que justifican la intervención del Pp.</w:t>
      </w:r>
    </w:p>
    <w:p w:rsidR="00220E64" w:rsidRDefault="00220E64" w:rsidP="00220E64">
      <w:pPr>
        <w:pStyle w:val="Prrafodelista"/>
        <w:numPr>
          <w:ilvl w:val="0"/>
          <w:numId w:val="8"/>
        </w:numPr>
        <w:spacing w:line="276" w:lineRule="auto"/>
        <w:jc w:val="both"/>
      </w:pPr>
      <w:r>
        <w:t>Los procedimientos para recibir, registrar y dar trámite a las solicitudes de los servicios que genera el Pp están al alcance de la población en general y estas se publican en el portal institucional de la Universidad.</w:t>
      </w:r>
    </w:p>
    <w:p w:rsidR="00220E64" w:rsidRDefault="00220E64" w:rsidP="00220E64">
      <w:pPr>
        <w:pStyle w:val="Prrafodelista"/>
        <w:numPr>
          <w:ilvl w:val="0"/>
          <w:numId w:val="8"/>
        </w:numPr>
        <w:spacing w:line="276" w:lineRule="auto"/>
        <w:jc w:val="both"/>
      </w:pPr>
      <w:r>
        <w:t>La Universidad tiene controles de registro de la población atendida, a través del Sistema Integral UNIPOL.</w:t>
      </w:r>
    </w:p>
    <w:p w:rsidR="00220E64" w:rsidRDefault="00220E64" w:rsidP="00220E64">
      <w:pPr>
        <w:pStyle w:val="Prrafodelista"/>
        <w:numPr>
          <w:ilvl w:val="0"/>
          <w:numId w:val="8"/>
        </w:numPr>
        <w:spacing w:line="276" w:lineRule="auto"/>
        <w:jc w:val="both"/>
      </w:pPr>
      <w:r>
        <w:t>La Universidad cumple con la publicación de la información conforme a lo establecido en la Ley de Acceso a la Información Pública del Estado de Sinaloa, así como de la Ley General de Contabilidad Gubernamental.</w:t>
      </w:r>
    </w:p>
    <w:p w:rsidR="00220E64" w:rsidRDefault="00220E64" w:rsidP="00220E64">
      <w:pPr>
        <w:pStyle w:val="Prrafodelista"/>
        <w:numPr>
          <w:ilvl w:val="0"/>
          <w:numId w:val="8"/>
        </w:numPr>
        <w:spacing w:line="276" w:lineRule="auto"/>
        <w:jc w:val="both"/>
      </w:pPr>
      <w:r>
        <w:t>La Universidad cuenta con un Sistema de Contabilidad Gubernamental que le permite llevar un control de registro contable-presupuestal, a nivel capítulo de gasto y fuente de financiamiento.</w:t>
      </w:r>
    </w:p>
    <w:p w:rsidR="00220E64" w:rsidRDefault="00220E64" w:rsidP="00220E64">
      <w:pPr>
        <w:pStyle w:val="Prrafodelista"/>
        <w:numPr>
          <w:ilvl w:val="0"/>
          <w:numId w:val="8"/>
        </w:numPr>
        <w:spacing w:line="276" w:lineRule="auto"/>
        <w:jc w:val="both"/>
      </w:pPr>
      <w:r>
        <w:t>El objetivo central se vincula con los Objetivos de Desarrollo Sostenible de la Agenda 2030 de la ONU.</w:t>
      </w:r>
    </w:p>
    <w:p w:rsidR="00D653C8" w:rsidRDefault="00220E64" w:rsidP="00220E64">
      <w:pPr>
        <w:pStyle w:val="Prrafodelista"/>
        <w:numPr>
          <w:ilvl w:val="0"/>
          <w:numId w:val="8"/>
        </w:numPr>
        <w:spacing w:line="276" w:lineRule="auto"/>
        <w:jc w:val="both"/>
      </w:pPr>
      <w:r>
        <w:t>El Pp E089 complementa al Pp E79 de Seguridad Pública.</w:t>
      </w:r>
    </w:p>
    <w:p w:rsidR="003E1018" w:rsidRPr="002206A2" w:rsidRDefault="003E1018" w:rsidP="006F4B1F">
      <w:pPr>
        <w:pStyle w:val="Prrafodelista"/>
        <w:numPr>
          <w:ilvl w:val="2"/>
          <w:numId w:val="5"/>
        </w:numPr>
        <w:spacing w:after="0" w:line="276" w:lineRule="auto"/>
        <w:ind w:left="993" w:hanging="567"/>
        <w:jc w:val="both"/>
        <w:rPr>
          <w:b/>
          <w:bCs/>
        </w:rPr>
      </w:pPr>
      <w:r w:rsidRPr="002206A2">
        <w:rPr>
          <w:b/>
          <w:bCs/>
        </w:rPr>
        <w:t>Debilidades</w:t>
      </w:r>
      <w:r w:rsidR="00220E64">
        <w:rPr>
          <w:b/>
          <w:bCs/>
        </w:rPr>
        <w:t xml:space="preserve"> y amenazas</w:t>
      </w:r>
    </w:p>
    <w:p w:rsidR="00220E64" w:rsidRPr="00220E64" w:rsidRDefault="00220E64" w:rsidP="00220E64">
      <w:pPr>
        <w:pStyle w:val="Prrafodelista"/>
        <w:numPr>
          <w:ilvl w:val="0"/>
          <w:numId w:val="8"/>
        </w:numPr>
        <w:spacing w:line="276" w:lineRule="auto"/>
        <w:jc w:val="both"/>
        <w:rPr>
          <w:rFonts w:cs="Arial"/>
        </w:rPr>
      </w:pPr>
      <w:r w:rsidRPr="00220E64">
        <w:rPr>
          <w:rFonts w:cs="Arial"/>
        </w:rPr>
        <w:t>El diagnostico corresponde a la planeación de un instrumento no vigente a la fecha de implementación del Pp</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La definición del problema se rebasa las atribuciones de la Institución</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Los efectos no guardan relación directa con las causas descritas</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La población objetivo está definida “Total de habitantes del Estado de Sinaloa”</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Las alternativas seleccionadas tienen áreas de oportunidad en sus elementos clave como población, componentes, servicios y actividades de su operación</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No cuenta con una metodología para la delimitación de la población potencial y objetivo</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La Universidad no cuenta con acceso directo en su portal institucional a la PNT y Armonización Contable Sinaloa</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No se cuenta con información publicada en datos abiertos y accesibles</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El Pp esta lineado a un Plan Estatal de Desarrollo y Plan Sectorial sin vigencia</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El diseño del programa presupuestario presenta deficiencias en los diferentes niveles de la Matriz de Indicadores de Resultados, que dificultan el seguimiento de los resultados del Programa que puedan dar cuenta de su desempeño</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Los indicadores no son monitoreables, pues los medios de verificación no son específicos</w:t>
      </w:r>
      <w:r>
        <w:rPr>
          <w:rFonts w:cs="Arial"/>
        </w:rPr>
        <w:t>.</w:t>
      </w:r>
    </w:p>
    <w:p w:rsidR="00220E64" w:rsidRPr="00220E64" w:rsidRDefault="00220E64" w:rsidP="00220E64">
      <w:pPr>
        <w:pStyle w:val="Prrafodelista"/>
        <w:numPr>
          <w:ilvl w:val="0"/>
          <w:numId w:val="8"/>
        </w:numPr>
        <w:spacing w:line="276" w:lineRule="auto"/>
        <w:jc w:val="both"/>
        <w:rPr>
          <w:rFonts w:cs="Arial"/>
        </w:rPr>
      </w:pPr>
      <w:r w:rsidRPr="00220E64">
        <w:rPr>
          <w:rFonts w:cs="Arial"/>
        </w:rPr>
        <w:t>Los indicadores presentan deficiencias en la definición de método de cálculo</w:t>
      </w:r>
      <w:r>
        <w:rPr>
          <w:rFonts w:cs="Arial"/>
        </w:rPr>
        <w:t>.</w:t>
      </w:r>
    </w:p>
    <w:p w:rsidR="00885264" w:rsidRPr="00672D5B" w:rsidRDefault="00220E64" w:rsidP="00020979">
      <w:pPr>
        <w:pStyle w:val="Prrafodelista"/>
        <w:numPr>
          <w:ilvl w:val="0"/>
          <w:numId w:val="8"/>
        </w:numPr>
        <w:spacing w:after="0" w:line="276" w:lineRule="auto"/>
        <w:jc w:val="both"/>
      </w:pPr>
      <w:r w:rsidRPr="00220E64">
        <w:rPr>
          <w:rFonts w:cs="Arial"/>
        </w:rPr>
        <w:lastRenderedPageBreak/>
        <w:t>Las metas no se establecen con base a un método de cálculo documentado</w:t>
      </w:r>
      <w:r>
        <w:rPr>
          <w:rFonts w:cs="Arial"/>
        </w:rPr>
        <w:t>.</w:t>
      </w:r>
    </w:p>
    <w:p w:rsidR="00AF2993" w:rsidRDefault="00AF2993" w:rsidP="00020979">
      <w:pPr>
        <w:spacing w:after="0" w:line="240"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rsidTr="002C2D3A">
        <w:trPr>
          <w:trHeight w:val="340"/>
        </w:trPr>
        <w:tc>
          <w:tcPr>
            <w:tcW w:w="9910" w:type="dxa"/>
            <w:shd w:val="clear" w:color="auto" w:fill="404040" w:themeFill="text1" w:themeFillTint="BF"/>
            <w:vAlign w:val="center"/>
          </w:tcPr>
          <w:p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rsidTr="00090637">
        <w:trPr>
          <w:trHeight w:val="340"/>
        </w:trPr>
        <w:tc>
          <w:tcPr>
            <w:tcW w:w="9910" w:type="dxa"/>
            <w:shd w:val="clear" w:color="auto" w:fill="F2F2F2" w:themeFill="background1" w:themeFillShade="F2"/>
            <w:vAlign w:val="center"/>
          </w:tcPr>
          <w:p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rsidR="00113BCD" w:rsidRDefault="004854E5" w:rsidP="00412214">
      <w:pPr>
        <w:spacing w:line="276" w:lineRule="auto"/>
        <w:ind w:left="284"/>
        <w:jc w:val="both"/>
        <w:rPr>
          <w:lang w:val="es-ES"/>
        </w:rPr>
      </w:pPr>
      <w:r w:rsidRPr="00BC66E5">
        <w:rPr>
          <w:lang w:val="es-ES"/>
        </w:rPr>
        <w:t>La evaluación en materia de diseño se articula a través de 11 apartados y 29 preguntas estratégicas para el logro de sus objetivos general y específicos.</w:t>
      </w:r>
    </w:p>
    <w:tbl>
      <w:tblPr>
        <w:tblW w:w="350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380"/>
        <w:gridCol w:w="3203"/>
        <w:gridCol w:w="1106"/>
        <w:gridCol w:w="1136"/>
        <w:gridCol w:w="1134"/>
      </w:tblGrid>
      <w:tr w:rsidR="00412214" w:rsidRPr="00412214" w:rsidTr="00220E64">
        <w:trPr>
          <w:trHeight w:val="767"/>
          <w:tblHeader/>
          <w:jc w:val="center"/>
        </w:trPr>
        <w:tc>
          <w:tcPr>
            <w:tcW w:w="273" w:type="pct"/>
            <w:shd w:val="clear" w:color="auto" w:fill="404040" w:themeFill="text1" w:themeFillTint="BF"/>
            <w:vAlign w:val="center"/>
          </w:tcPr>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No.</w:t>
            </w:r>
          </w:p>
        </w:tc>
        <w:tc>
          <w:tcPr>
            <w:tcW w:w="2301" w:type="pct"/>
            <w:shd w:val="clear" w:color="auto" w:fill="404040" w:themeFill="text1" w:themeFillTint="BF"/>
            <w:vAlign w:val="center"/>
          </w:tcPr>
          <w:p w:rsidR="00412214" w:rsidRPr="00412214" w:rsidRDefault="00412214" w:rsidP="005959A7">
            <w:pPr>
              <w:spacing w:after="0" w:line="240" w:lineRule="auto"/>
              <w:jc w:val="center"/>
              <w:rPr>
                <w:rFonts w:eastAsia="Cambria" w:cs="Arial"/>
                <w:b/>
                <w:bCs/>
                <w:color w:val="FFFFFF" w:themeColor="background1"/>
                <w:sz w:val="18"/>
                <w:szCs w:val="18"/>
              </w:rPr>
            </w:pPr>
            <w:r w:rsidRPr="00412214">
              <w:rPr>
                <w:rFonts w:cs="Arial"/>
                <w:b/>
                <w:bCs/>
                <w:color w:val="FFFFFF" w:themeColor="background1"/>
                <w:sz w:val="18"/>
                <w:szCs w:val="18"/>
              </w:rPr>
              <w:t>Sección</w:t>
            </w:r>
          </w:p>
        </w:tc>
        <w:tc>
          <w:tcPr>
            <w:tcW w:w="795" w:type="pct"/>
            <w:shd w:val="clear" w:color="auto" w:fill="404040" w:themeFill="text1" w:themeFillTint="BF"/>
            <w:tcMar>
              <w:top w:w="0" w:type="dxa"/>
              <w:left w:w="108" w:type="dxa"/>
              <w:bottom w:w="0" w:type="dxa"/>
              <w:right w:w="108" w:type="dxa"/>
            </w:tcMar>
            <w:vAlign w:val="center"/>
            <w:hideMark/>
          </w:tcPr>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Total de preguntas</w:t>
            </w:r>
          </w:p>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(A)</w:t>
            </w:r>
          </w:p>
        </w:tc>
        <w:tc>
          <w:tcPr>
            <w:tcW w:w="816" w:type="pct"/>
            <w:shd w:val="clear" w:color="auto" w:fill="404040" w:themeFill="text1" w:themeFillTint="BF"/>
            <w:vAlign w:val="center"/>
          </w:tcPr>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Puntuación obtenida</w:t>
            </w:r>
          </w:p>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(B)</w:t>
            </w:r>
          </w:p>
        </w:tc>
        <w:tc>
          <w:tcPr>
            <w:tcW w:w="815" w:type="pct"/>
            <w:shd w:val="clear" w:color="auto" w:fill="404040" w:themeFill="text1" w:themeFillTint="BF"/>
            <w:vAlign w:val="center"/>
          </w:tcPr>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 xml:space="preserve">Valoración cuantitativa </w:t>
            </w:r>
          </w:p>
          <w:p w:rsidR="00412214" w:rsidRPr="00412214" w:rsidRDefault="00412214" w:rsidP="005959A7">
            <w:pPr>
              <w:spacing w:after="0" w:line="240" w:lineRule="auto"/>
              <w:jc w:val="center"/>
              <w:rPr>
                <w:rFonts w:cs="Arial"/>
                <w:b/>
                <w:bCs/>
                <w:color w:val="FFFFFF" w:themeColor="background1"/>
                <w:sz w:val="18"/>
                <w:szCs w:val="18"/>
              </w:rPr>
            </w:pPr>
            <w:r w:rsidRPr="00412214">
              <w:rPr>
                <w:rFonts w:cs="Arial"/>
                <w:b/>
                <w:bCs/>
                <w:color w:val="FFFFFF" w:themeColor="background1"/>
                <w:sz w:val="18"/>
                <w:szCs w:val="18"/>
              </w:rPr>
              <w:t>(B)/(A)</w:t>
            </w:r>
          </w:p>
        </w:tc>
      </w:tr>
      <w:tr w:rsidR="00412214" w:rsidRPr="00412214" w:rsidTr="00220E64">
        <w:trPr>
          <w:trHeight w:val="340"/>
          <w:jc w:val="center"/>
        </w:trPr>
        <w:tc>
          <w:tcPr>
            <w:tcW w:w="273"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II</w:t>
            </w:r>
          </w:p>
        </w:tc>
        <w:tc>
          <w:tcPr>
            <w:tcW w:w="2301" w:type="pct"/>
            <w:tcMar>
              <w:top w:w="0" w:type="dxa"/>
              <w:left w:w="108" w:type="dxa"/>
              <w:bottom w:w="0" w:type="dxa"/>
              <w:right w:w="108" w:type="dxa"/>
            </w:tcMar>
            <w:vAlign w:val="center"/>
            <w:hideMark/>
          </w:tcPr>
          <w:p w:rsidR="00412214" w:rsidRPr="00412214" w:rsidRDefault="00412214" w:rsidP="005959A7">
            <w:pPr>
              <w:spacing w:after="0" w:line="240" w:lineRule="auto"/>
              <w:rPr>
                <w:rFonts w:cs="Arial"/>
                <w:sz w:val="18"/>
                <w:szCs w:val="18"/>
              </w:rPr>
            </w:pPr>
            <w:r w:rsidRPr="00412214">
              <w:rPr>
                <w:rFonts w:cs="Arial"/>
                <w:sz w:val="18"/>
                <w:szCs w:val="18"/>
              </w:rPr>
              <w:t>Problema o necesidad pública</w:t>
            </w:r>
          </w:p>
        </w:tc>
        <w:tc>
          <w:tcPr>
            <w:tcW w:w="795" w:type="pct"/>
            <w:tcMar>
              <w:top w:w="0" w:type="dxa"/>
              <w:left w:w="108" w:type="dxa"/>
              <w:bottom w:w="0" w:type="dxa"/>
              <w:right w:w="108" w:type="dxa"/>
            </w:tcMar>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4</w:t>
            </w:r>
          </w:p>
        </w:tc>
        <w:tc>
          <w:tcPr>
            <w:tcW w:w="816"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7</w:t>
            </w:r>
          </w:p>
        </w:tc>
        <w:tc>
          <w:tcPr>
            <w:tcW w:w="815" w:type="pct"/>
            <w:shd w:val="clear" w:color="auto" w:fill="F2F2F2" w:themeFill="background1" w:themeFillShade="F2"/>
            <w:vAlign w:val="center"/>
          </w:tcPr>
          <w:p w:rsidR="00412214" w:rsidRPr="00412214" w:rsidRDefault="00412214" w:rsidP="005959A7">
            <w:pPr>
              <w:spacing w:after="0" w:line="240" w:lineRule="auto"/>
              <w:jc w:val="center"/>
              <w:rPr>
                <w:rFonts w:cs="Arial"/>
                <w:b/>
                <w:bCs/>
                <w:sz w:val="18"/>
                <w:szCs w:val="18"/>
              </w:rPr>
            </w:pPr>
            <w:r w:rsidRPr="00412214">
              <w:rPr>
                <w:rFonts w:cs="Arial"/>
                <w:b/>
                <w:bCs/>
                <w:sz w:val="18"/>
                <w:szCs w:val="18"/>
              </w:rPr>
              <w:t>1.75</w:t>
            </w:r>
          </w:p>
        </w:tc>
      </w:tr>
      <w:tr w:rsidR="00412214" w:rsidRPr="00412214" w:rsidTr="00220E64">
        <w:trPr>
          <w:trHeight w:val="340"/>
          <w:jc w:val="center"/>
        </w:trPr>
        <w:tc>
          <w:tcPr>
            <w:tcW w:w="273"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III</w:t>
            </w:r>
          </w:p>
        </w:tc>
        <w:tc>
          <w:tcPr>
            <w:tcW w:w="2301" w:type="pct"/>
            <w:tcMar>
              <w:top w:w="0" w:type="dxa"/>
              <w:left w:w="108" w:type="dxa"/>
              <w:bottom w:w="0" w:type="dxa"/>
              <w:right w:w="108" w:type="dxa"/>
            </w:tcMar>
            <w:vAlign w:val="center"/>
          </w:tcPr>
          <w:p w:rsidR="00412214" w:rsidRPr="00412214" w:rsidRDefault="00412214" w:rsidP="005959A7">
            <w:pPr>
              <w:spacing w:after="0" w:line="240" w:lineRule="auto"/>
              <w:rPr>
                <w:rFonts w:cs="Arial"/>
                <w:sz w:val="18"/>
                <w:szCs w:val="18"/>
              </w:rPr>
            </w:pPr>
            <w:r w:rsidRPr="00412214">
              <w:rPr>
                <w:rFonts w:cs="Arial"/>
                <w:sz w:val="18"/>
                <w:szCs w:val="18"/>
              </w:rPr>
              <w:t>Diseño de la propuesta de atención</w:t>
            </w:r>
          </w:p>
        </w:tc>
        <w:tc>
          <w:tcPr>
            <w:tcW w:w="795" w:type="pct"/>
            <w:tcMar>
              <w:top w:w="0" w:type="dxa"/>
              <w:left w:w="108" w:type="dxa"/>
              <w:bottom w:w="0" w:type="dxa"/>
              <w:right w:w="108" w:type="dxa"/>
            </w:tcMar>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5</w:t>
            </w:r>
          </w:p>
        </w:tc>
        <w:tc>
          <w:tcPr>
            <w:tcW w:w="816"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14</w:t>
            </w:r>
          </w:p>
        </w:tc>
        <w:tc>
          <w:tcPr>
            <w:tcW w:w="815" w:type="pct"/>
            <w:shd w:val="clear" w:color="auto" w:fill="F2F2F2" w:themeFill="background1" w:themeFillShade="F2"/>
            <w:vAlign w:val="center"/>
          </w:tcPr>
          <w:p w:rsidR="00412214" w:rsidRPr="00412214" w:rsidRDefault="00412214" w:rsidP="005959A7">
            <w:pPr>
              <w:spacing w:after="0" w:line="240" w:lineRule="auto"/>
              <w:jc w:val="center"/>
              <w:rPr>
                <w:rFonts w:cs="Arial"/>
                <w:b/>
                <w:bCs/>
                <w:sz w:val="18"/>
                <w:szCs w:val="18"/>
              </w:rPr>
            </w:pPr>
            <w:r w:rsidRPr="00412214">
              <w:rPr>
                <w:rFonts w:cs="Arial"/>
                <w:b/>
                <w:bCs/>
                <w:sz w:val="18"/>
                <w:szCs w:val="18"/>
              </w:rPr>
              <w:t>2.80</w:t>
            </w:r>
          </w:p>
        </w:tc>
      </w:tr>
      <w:tr w:rsidR="00412214" w:rsidRPr="00412214" w:rsidTr="00220E64">
        <w:trPr>
          <w:trHeight w:val="340"/>
          <w:jc w:val="center"/>
        </w:trPr>
        <w:tc>
          <w:tcPr>
            <w:tcW w:w="273"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IV</w:t>
            </w:r>
          </w:p>
        </w:tc>
        <w:tc>
          <w:tcPr>
            <w:tcW w:w="2301" w:type="pct"/>
            <w:tcMar>
              <w:top w:w="0" w:type="dxa"/>
              <w:left w:w="108" w:type="dxa"/>
              <w:bottom w:w="0" w:type="dxa"/>
              <w:right w:w="108" w:type="dxa"/>
            </w:tcMar>
            <w:vAlign w:val="center"/>
          </w:tcPr>
          <w:p w:rsidR="00412214" w:rsidRPr="00412214" w:rsidRDefault="00412214" w:rsidP="005959A7">
            <w:pPr>
              <w:spacing w:after="0" w:line="240" w:lineRule="auto"/>
              <w:rPr>
                <w:rFonts w:cs="Arial"/>
                <w:sz w:val="18"/>
                <w:szCs w:val="18"/>
              </w:rPr>
            </w:pPr>
            <w:r w:rsidRPr="00412214">
              <w:rPr>
                <w:rFonts w:cs="Arial"/>
                <w:sz w:val="18"/>
                <w:szCs w:val="18"/>
              </w:rPr>
              <w:t>Diseño operativo</w:t>
            </w:r>
          </w:p>
        </w:tc>
        <w:tc>
          <w:tcPr>
            <w:tcW w:w="795" w:type="pct"/>
            <w:tcMar>
              <w:top w:w="0" w:type="dxa"/>
              <w:left w:w="108" w:type="dxa"/>
              <w:bottom w:w="0" w:type="dxa"/>
              <w:right w:w="108" w:type="dxa"/>
            </w:tcMar>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10</w:t>
            </w:r>
          </w:p>
        </w:tc>
        <w:tc>
          <w:tcPr>
            <w:tcW w:w="816"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25</w:t>
            </w:r>
          </w:p>
        </w:tc>
        <w:tc>
          <w:tcPr>
            <w:tcW w:w="815" w:type="pct"/>
            <w:shd w:val="clear" w:color="auto" w:fill="F2F2F2" w:themeFill="background1" w:themeFillShade="F2"/>
            <w:vAlign w:val="center"/>
          </w:tcPr>
          <w:p w:rsidR="00412214" w:rsidRPr="00412214" w:rsidRDefault="00412214" w:rsidP="005959A7">
            <w:pPr>
              <w:spacing w:after="0" w:line="240" w:lineRule="auto"/>
              <w:jc w:val="center"/>
              <w:rPr>
                <w:rFonts w:cs="Arial"/>
                <w:b/>
                <w:bCs/>
                <w:sz w:val="18"/>
                <w:szCs w:val="18"/>
              </w:rPr>
            </w:pPr>
            <w:r w:rsidRPr="00412214">
              <w:rPr>
                <w:rFonts w:cs="Arial"/>
                <w:b/>
                <w:bCs/>
                <w:sz w:val="18"/>
                <w:szCs w:val="18"/>
              </w:rPr>
              <w:t>2.50</w:t>
            </w:r>
          </w:p>
        </w:tc>
      </w:tr>
      <w:tr w:rsidR="00412214" w:rsidRPr="00412214" w:rsidTr="00220E64">
        <w:trPr>
          <w:trHeight w:val="340"/>
          <w:jc w:val="center"/>
        </w:trPr>
        <w:tc>
          <w:tcPr>
            <w:tcW w:w="273"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lang w:eastAsia="es-MX"/>
              </w:rPr>
              <w:t>V</w:t>
            </w:r>
          </w:p>
        </w:tc>
        <w:tc>
          <w:tcPr>
            <w:tcW w:w="2301" w:type="pct"/>
            <w:tcMar>
              <w:top w:w="0" w:type="dxa"/>
              <w:left w:w="108" w:type="dxa"/>
              <w:bottom w:w="0" w:type="dxa"/>
              <w:right w:w="108" w:type="dxa"/>
            </w:tcMar>
            <w:vAlign w:val="center"/>
          </w:tcPr>
          <w:p w:rsidR="00412214" w:rsidRPr="00412214" w:rsidRDefault="00412214" w:rsidP="005959A7">
            <w:pPr>
              <w:spacing w:after="0" w:line="240" w:lineRule="auto"/>
              <w:rPr>
                <w:rFonts w:cs="Arial"/>
                <w:sz w:val="18"/>
                <w:szCs w:val="18"/>
              </w:rPr>
            </w:pPr>
            <w:r w:rsidRPr="00412214">
              <w:rPr>
                <w:rFonts w:cs="Arial"/>
                <w:sz w:val="18"/>
                <w:szCs w:val="18"/>
              </w:rPr>
              <w:t xml:space="preserve">Consistencia programática y normativa </w:t>
            </w:r>
          </w:p>
        </w:tc>
        <w:tc>
          <w:tcPr>
            <w:tcW w:w="795" w:type="pct"/>
            <w:tcMar>
              <w:top w:w="0" w:type="dxa"/>
              <w:left w:w="108" w:type="dxa"/>
              <w:bottom w:w="0" w:type="dxa"/>
              <w:right w:w="108" w:type="dxa"/>
            </w:tcMar>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1</w:t>
            </w:r>
          </w:p>
        </w:tc>
        <w:tc>
          <w:tcPr>
            <w:tcW w:w="816"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4</w:t>
            </w:r>
          </w:p>
        </w:tc>
        <w:tc>
          <w:tcPr>
            <w:tcW w:w="815" w:type="pct"/>
            <w:shd w:val="clear" w:color="auto" w:fill="F2F2F2" w:themeFill="background1" w:themeFillShade="F2"/>
            <w:vAlign w:val="center"/>
          </w:tcPr>
          <w:p w:rsidR="00412214" w:rsidRPr="00412214" w:rsidRDefault="00412214" w:rsidP="005959A7">
            <w:pPr>
              <w:spacing w:after="0" w:line="240" w:lineRule="auto"/>
              <w:jc w:val="center"/>
              <w:rPr>
                <w:rFonts w:cs="Arial"/>
                <w:b/>
                <w:bCs/>
                <w:sz w:val="18"/>
                <w:szCs w:val="18"/>
              </w:rPr>
            </w:pPr>
            <w:r w:rsidRPr="00412214">
              <w:rPr>
                <w:rFonts w:cs="Arial"/>
                <w:b/>
                <w:bCs/>
                <w:sz w:val="18"/>
                <w:szCs w:val="18"/>
              </w:rPr>
              <w:t>4.00</w:t>
            </w:r>
          </w:p>
        </w:tc>
      </w:tr>
      <w:tr w:rsidR="00412214" w:rsidRPr="00412214" w:rsidTr="00220E64">
        <w:trPr>
          <w:trHeight w:val="510"/>
          <w:jc w:val="center"/>
        </w:trPr>
        <w:tc>
          <w:tcPr>
            <w:tcW w:w="273" w:type="pct"/>
            <w:vAlign w:val="center"/>
          </w:tcPr>
          <w:p w:rsidR="00412214" w:rsidRPr="00412214" w:rsidRDefault="00412214" w:rsidP="005959A7">
            <w:pPr>
              <w:spacing w:after="0" w:line="240" w:lineRule="auto"/>
              <w:jc w:val="center"/>
              <w:rPr>
                <w:rFonts w:cs="Arial"/>
                <w:sz w:val="18"/>
                <w:szCs w:val="18"/>
                <w:lang w:eastAsia="es-MX"/>
              </w:rPr>
            </w:pPr>
            <w:r w:rsidRPr="00412214">
              <w:rPr>
                <w:rFonts w:cs="Arial"/>
                <w:sz w:val="18"/>
                <w:szCs w:val="18"/>
              </w:rPr>
              <w:t>VI</w:t>
            </w:r>
          </w:p>
        </w:tc>
        <w:tc>
          <w:tcPr>
            <w:tcW w:w="2301" w:type="pct"/>
            <w:tcMar>
              <w:top w:w="0" w:type="dxa"/>
              <w:left w:w="108" w:type="dxa"/>
              <w:bottom w:w="0" w:type="dxa"/>
              <w:right w:w="108" w:type="dxa"/>
            </w:tcMar>
            <w:vAlign w:val="center"/>
            <w:hideMark/>
          </w:tcPr>
          <w:p w:rsidR="00412214" w:rsidRPr="00412214" w:rsidRDefault="00412214" w:rsidP="005959A7">
            <w:pPr>
              <w:spacing w:after="0" w:line="240" w:lineRule="auto"/>
              <w:rPr>
                <w:rFonts w:eastAsia="Cambria" w:cs="Arial"/>
                <w:sz w:val="18"/>
                <w:szCs w:val="18"/>
                <w:lang w:eastAsia="es-MX"/>
              </w:rPr>
            </w:pPr>
            <w:r w:rsidRPr="00412214">
              <w:rPr>
                <w:rFonts w:cs="Arial"/>
                <w:sz w:val="18"/>
                <w:szCs w:val="18"/>
                <w:lang w:eastAsia="es-MX"/>
              </w:rPr>
              <w:t>Contribución a objetivos de la planeación estatal</w:t>
            </w:r>
          </w:p>
        </w:tc>
        <w:tc>
          <w:tcPr>
            <w:tcW w:w="795" w:type="pct"/>
            <w:tcMar>
              <w:top w:w="0" w:type="dxa"/>
              <w:left w:w="108" w:type="dxa"/>
              <w:bottom w:w="0" w:type="dxa"/>
              <w:right w:w="108" w:type="dxa"/>
            </w:tcMar>
            <w:vAlign w:val="center"/>
          </w:tcPr>
          <w:p w:rsidR="00412214" w:rsidRPr="00412214" w:rsidRDefault="00412214" w:rsidP="005959A7">
            <w:pPr>
              <w:spacing w:after="0" w:line="240" w:lineRule="auto"/>
              <w:jc w:val="center"/>
              <w:rPr>
                <w:rFonts w:eastAsia="Cambria" w:cs="Arial"/>
                <w:sz w:val="18"/>
                <w:szCs w:val="18"/>
              </w:rPr>
            </w:pPr>
            <w:r w:rsidRPr="00412214">
              <w:rPr>
                <w:rFonts w:eastAsia="Cambria" w:cs="Arial"/>
                <w:sz w:val="18"/>
                <w:szCs w:val="18"/>
              </w:rPr>
              <w:t>1</w:t>
            </w:r>
          </w:p>
        </w:tc>
        <w:tc>
          <w:tcPr>
            <w:tcW w:w="816" w:type="pct"/>
            <w:vAlign w:val="center"/>
          </w:tcPr>
          <w:p w:rsidR="00412214" w:rsidRPr="00412214" w:rsidRDefault="00412214" w:rsidP="005959A7">
            <w:pPr>
              <w:spacing w:after="0" w:line="240" w:lineRule="auto"/>
              <w:jc w:val="center"/>
              <w:rPr>
                <w:rFonts w:eastAsia="Cambria" w:cs="Arial"/>
                <w:sz w:val="18"/>
                <w:szCs w:val="18"/>
              </w:rPr>
            </w:pPr>
            <w:r w:rsidRPr="00412214">
              <w:rPr>
                <w:rFonts w:eastAsia="Cambria" w:cs="Arial"/>
                <w:sz w:val="18"/>
                <w:szCs w:val="18"/>
              </w:rPr>
              <w:t>0</w:t>
            </w:r>
          </w:p>
        </w:tc>
        <w:tc>
          <w:tcPr>
            <w:tcW w:w="815" w:type="pct"/>
            <w:shd w:val="clear" w:color="auto" w:fill="F2F2F2" w:themeFill="background1" w:themeFillShade="F2"/>
            <w:vAlign w:val="center"/>
          </w:tcPr>
          <w:p w:rsidR="00412214" w:rsidRPr="00412214" w:rsidRDefault="00412214" w:rsidP="005959A7">
            <w:pPr>
              <w:spacing w:after="0" w:line="240" w:lineRule="auto"/>
              <w:jc w:val="center"/>
              <w:rPr>
                <w:rFonts w:cs="Arial"/>
                <w:b/>
                <w:bCs/>
                <w:sz w:val="18"/>
                <w:szCs w:val="18"/>
              </w:rPr>
            </w:pPr>
            <w:r w:rsidRPr="00412214">
              <w:rPr>
                <w:rFonts w:cs="Arial"/>
                <w:b/>
                <w:bCs/>
                <w:sz w:val="18"/>
                <w:szCs w:val="18"/>
              </w:rPr>
              <w:t>0</w:t>
            </w:r>
          </w:p>
        </w:tc>
      </w:tr>
      <w:tr w:rsidR="00412214" w:rsidRPr="00412214" w:rsidTr="00220E64">
        <w:trPr>
          <w:trHeight w:val="510"/>
          <w:jc w:val="center"/>
        </w:trPr>
        <w:tc>
          <w:tcPr>
            <w:tcW w:w="273" w:type="pct"/>
            <w:vAlign w:val="center"/>
          </w:tcPr>
          <w:p w:rsidR="00412214" w:rsidRPr="00412214" w:rsidRDefault="00412214" w:rsidP="005959A7">
            <w:pPr>
              <w:spacing w:after="0" w:line="240" w:lineRule="auto"/>
              <w:jc w:val="center"/>
              <w:rPr>
                <w:rFonts w:cs="Arial"/>
                <w:sz w:val="18"/>
                <w:szCs w:val="18"/>
              </w:rPr>
            </w:pPr>
            <w:r w:rsidRPr="00412214">
              <w:rPr>
                <w:rFonts w:cs="Arial"/>
                <w:sz w:val="18"/>
                <w:szCs w:val="18"/>
              </w:rPr>
              <w:t>VIII</w:t>
            </w:r>
          </w:p>
        </w:tc>
        <w:tc>
          <w:tcPr>
            <w:tcW w:w="2301" w:type="pct"/>
            <w:tcMar>
              <w:top w:w="0" w:type="dxa"/>
              <w:left w:w="108" w:type="dxa"/>
              <w:bottom w:w="0" w:type="dxa"/>
              <w:right w:w="108" w:type="dxa"/>
            </w:tcMar>
            <w:vAlign w:val="center"/>
            <w:hideMark/>
          </w:tcPr>
          <w:p w:rsidR="00412214" w:rsidRPr="00412214" w:rsidRDefault="00412214" w:rsidP="005959A7">
            <w:pPr>
              <w:spacing w:after="0" w:line="240" w:lineRule="auto"/>
              <w:rPr>
                <w:rFonts w:eastAsia="Cambria" w:cs="Arial"/>
                <w:sz w:val="18"/>
                <w:szCs w:val="18"/>
              </w:rPr>
            </w:pPr>
            <w:r w:rsidRPr="00412214">
              <w:rPr>
                <w:rFonts w:cs="Arial"/>
                <w:sz w:val="18"/>
                <w:szCs w:val="18"/>
              </w:rPr>
              <w:t>Instrumento de Seguimiento del Desempeño</w:t>
            </w:r>
          </w:p>
        </w:tc>
        <w:tc>
          <w:tcPr>
            <w:tcW w:w="795" w:type="pct"/>
            <w:tcMar>
              <w:top w:w="0" w:type="dxa"/>
              <w:left w:w="108" w:type="dxa"/>
              <w:bottom w:w="0" w:type="dxa"/>
              <w:right w:w="108" w:type="dxa"/>
            </w:tcMar>
            <w:vAlign w:val="center"/>
          </w:tcPr>
          <w:p w:rsidR="00412214" w:rsidRPr="00412214" w:rsidRDefault="00412214" w:rsidP="005959A7">
            <w:pPr>
              <w:spacing w:after="0" w:line="240" w:lineRule="auto"/>
              <w:jc w:val="center"/>
              <w:rPr>
                <w:rFonts w:eastAsia="Cambria" w:cs="Arial"/>
                <w:sz w:val="18"/>
                <w:szCs w:val="18"/>
              </w:rPr>
            </w:pPr>
            <w:r w:rsidRPr="00412214">
              <w:rPr>
                <w:rFonts w:eastAsia="Cambria" w:cs="Arial"/>
                <w:sz w:val="18"/>
                <w:szCs w:val="18"/>
              </w:rPr>
              <w:t>4</w:t>
            </w:r>
          </w:p>
        </w:tc>
        <w:tc>
          <w:tcPr>
            <w:tcW w:w="816" w:type="pct"/>
            <w:shd w:val="clear" w:color="auto" w:fill="auto"/>
            <w:vAlign w:val="center"/>
          </w:tcPr>
          <w:p w:rsidR="00412214" w:rsidRPr="00412214" w:rsidRDefault="00412214" w:rsidP="005959A7">
            <w:pPr>
              <w:spacing w:after="0" w:line="240" w:lineRule="auto"/>
              <w:jc w:val="center"/>
              <w:rPr>
                <w:rFonts w:eastAsia="Cambria" w:cs="Arial"/>
                <w:sz w:val="18"/>
                <w:szCs w:val="18"/>
              </w:rPr>
            </w:pPr>
            <w:r w:rsidRPr="00412214">
              <w:rPr>
                <w:rFonts w:eastAsia="Cambria" w:cs="Arial"/>
                <w:sz w:val="18"/>
                <w:szCs w:val="18"/>
              </w:rPr>
              <w:t>4</w:t>
            </w:r>
          </w:p>
        </w:tc>
        <w:tc>
          <w:tcPr>
            <w:tcW w:w="815" w:type="pct"/>
            <w:shd w:val="clear" w:color="auto" w:fill="auto"/>
            <w:vAlign w:val="center"/>
          </w:tcPr>
          <w:p w:rsidR="00412214" w:rsidRPr="00412214" w:rsidRDefault="00412214" w:rsidP="005959A7">
            <w:pPr>
              <w:spacing w:after="0" w:line="240" w:lineRule="auto"/>
              <w:jc w:val="center"/>
              <w:rPr>
                <w:rFonts w:cs="Arial"/>
                <w:b/>
                <w:bCs/>
                <w:sz w:val="18"/>
                <w:szCs w:val="18"/>
              </w:rPr>
            </w:pPr>
            <w:r w:rsidRPr="00412214">
              <w:rPr>
                <w:rFonts w:cs="Arial"/>
                <w:b/>
                <w:bCs/>
                <w:sz w:val="18"/>
                <w:szCs w:val="18"/>
              </w:rPr>
              <w:t>1</w:t>
            </w:r>
          </w:p>
        </w:tc>
      </w:tr>
      <w:tr w:rsidR="00412214" w:rsidRPr="00412214" w:rsidTr="00220E64">
        <w:trPr>
          <w:trHeight w:val="283"/>
          <w:jc w:val="center"/>
        </w:trPr>
        <w:tc>
          <w:tcPr>
            <w:tcW w:w="273" w:type="pct"/>
            <w:shd w:val="clear" w:color="auto" w:fill="D9D9D9" w:themeFill="background1" w:themeFillShade="D9"/>
            <w:vAlign w:val="center"/>
          </w:tcPr>
          <w:p w:rsidR="00412214" w:rsidRPr="00412214" w:rsidRDefault="00412214" w:rsidP="005959A7">
            <w:pPr>
              <w:spacing w:after="0" w:line="240" w:lineRule="auto"/>
              <w:rPr>
                <w:rFonts w:cs="Arial"/>
                <w:b/>
                <w:bCs/>
                <w:color w:val="000000" w:themeColor="text1"/>
                <w:sz w:val="18"/>
                <w:szCs w:val="18"/>
              </w:rPr>
            </w:pPr>
          </w:p>
        </w:tc>
        <w:tc>
          <w:tcPr>
            <w:tcW w:w="2301" w:type="pct"/>
            <w:shd w:val="clear" w:color="auto" w:fill="D9D9D9" w:themeFill="background1" w:themeFillShade="D9"/>
            <w:tcMar>
              <w:top w:w="0" w:type="dxa"/>
              <w:left w:w="108" w:type="dxa"/>
              <w:bottom w:w="0" w:type="dxa"/>
              <w:right w:w="108" w:type="dxa"/>
            </w:tcMar>
            <w:vAlign w:val="center"/>
            <w:hideMark/>
          </w:tcPr>
          <w:p w:rsidR="00412214" w:rsidRPr="00412214" w:rsidRDefault="00412214" w:rsidP="005959A7">
            <w:pPr>
              <w:spacing w:after="0" w:line="240" w:lineRule="auto"/>
              <w:jc w:val="center"/>
              <w:rPr>
                <w:rFonts w:eastAsia="Cambria" w:cs="Arial"/>
                <w:b/>
                <w:bCs/>
                <w:color w:val="000000" w:themeColor="text1"/>
                <w:sz w:val="18"/>
                <w:szCs w:val="18"/>
              </w:rPr>
            </w:pPr>
            <w:r w:rsidRPr="00412214">
              <w:rPr>
                <w:rFonts w:cs="Arial"/>
                <w:b/>
                <w:bCs/>
                <w:color w:val="000000" w:themeColor="text1"/>
                <w:sz w:val="18"/>
                <w:szCs w:val="18"/>
              </w:rPr>
              <w:t>TOTAL</w:t>
            </w:r>
          </w:p>
        </w:tc>
        <w:tc>
          <w:tcPr>
            <w:tcW w:w="795" w:type="pct"/>
            <w:shd w:val="clear" w:color="auto" w:fill="D9D9D9" w:themeFill="background1" w:themeFillShade="D9"/>
            <w:tcMar>
              <w:top w:w="0" w:type="dxa"/>
              <w:left w:w="108" w:type="dxa"/>
              <w:bottom w:w="0" w:type="dxa"/>
              <w:right w:w="108" w:type="dxa"/>
            </w:tcMar>
            <w:vAlign w:val="center"/>
            <w:hideMark/>
          </w:tcPr>
          <w:p w:rsidR="00412214" w:rsidRPr="00412214" w:rsidRDefault="00412214" w:rsidP="005959A7">
            <w:pPr>
              <w:spacing w:after="0" w:line="240" w:lineRule="auto"/>
              <w:jc w:val="center"/>
              <w:rPr>
                <w:rFonts w:eastAsia="Cambria" w:cs="Arial"/>
                <w:b/>
                <w:bCs/>
                <w:color w:val="000000" w:themeColor="text1"/>
                <w:sz w:val="18"/>
                <w:szCs w:val="18"/>
              </w:rPr>
            </w:pPr>
            <w:r w:rsidRPr="00412214">
              <w:rPr>
                <w:rFonts w:eastAsia="Cambria" w:cs="Arial"/>
                <w:b/>
                <w:bCs/>
                <w:color w:val="000000" w:themeColor="text1"/>
                <w:sz w:val="18"/>
                <w:szCs w:val="18"/>
              </w:rPr>
              <w:t>25</w:t>
            </w:r>
          </w:p>
        </w:tc>
        <w:tc>
          <w:tcPr>
            <w:tcW w:w="816" w:type="pct"/>
            <w:shd w:val="clear" w:color="auto" w:fill="D9D9D9" w:themeFill="background1" w:themeFillShade="D9"/>
            <w:vAlign w:val="center"/>
          </w:tcPr>
          <w:p w:rsidR="00412214" w:rsidRPr="00412214" w:rsidRDefault="00412214" w:rsidP="005959A7">
            <w:pPr>
              <w:spacing w:after="0" w:line="240" w:lineRule="auto"/>
              <w:jc w:val="center"/>
              <w:rPr>
                <w:rFonts w:eastAsia="Cambria" w:cs="Arial"/>
                <w:b/>
                <w:bCs/>
                <w:color w:val="000000" w:themeColor="text1"/>
                <w:sz w:val="18"/>
                <w:szCs w:val="18"/>
              </w:rPr>
            </w:pPr>
            <w:r w:rsidRPr="00412214">
              <w:rPr>
                <w:rFonts w:eastAsia="Cambria" w:cs="Arial"/>
                <w:b/>
                <w:bCs/>
                <w:color w:val="000000" w:themeColor="text1"/>
                <w:sz w:val="18"/>
                <w:szCs w:val="18"/>
              </w:rPr>
              <w:t>54</w:t>
            </w:r>
          </w:p>
        </w:tc>
        <w:tc>
          <w:tcPr>
            <w:tcW w:w="815" w:type="pct"/>
            <w:shd w:val="clear" w:color="auto" w:fill="D9D9D9" w:themeFill="background1" w:themeFillShade="D9"/>
            <w:vAlign w:val="center"/>
          </w:tcPr>
          <w:p w:rsidR="00412214" w:rsidRPr="00412214" w:rsidRDefault="00412214" w:rsidP="005959A7">
            <w:pPr>
              <w:spacing w:after="0" w:line="240" w:lineRule="auto"/>
              <w:jc w:val="center"/>
              <w:rPr>
                <w:rFonts w:cs="Arial"/>
                <w:b/>
                <w:bCs/>
                <w:color w:val="000000" w:themeColor="text1"/>
                <w:sz w:val="18"/>
                <w:szCs w:val="18"/>
              </w:rPr>
            </w:pPr>
            <w:r w:rsidRPr="00412214">
              <w:rPr>
                <w:rFonts w:cs="Arial"/>
                <w:b/>
                <w:bCs/>
                <w:color w:val="000000" w:themeColor="text1"/>
                <w:sz w:val="18"/>
                <w:szCs w:val="18"/>
              </w:rPr>
              <w:t>2.16</w:t>
            </w:r>
          </w:p>
        </w:tc>
      </w:tr>
    </w:tbl>
    <w:p w:rsidR="00412214" w:rsidRDefault="00412214" w:rsidP="00A4624B">
      <w:pPr>
        <w:spacing w:after="0" w:line="276" w:lineRule="auto"/>
        <w:ind w:left="284"/>
        <w:jc w:val="both"/>
        <w:rPr>
          <w:lang w:val="es-ES"/>
        </w:rPr>
      </w:pPr>
    </w:p>
    <w:p w:rsidR="00412214" w:rsidRDefault="00412214" w:rsidP="00412214">
      <w:pPr>
        <w:spacing w:after="0" w:line="276" w:lineRule="auto"/>
        <w:ind w:left="284"/>
        <w:jc w:val="center"/>
        <w:rPr>
          <w:lang w:val="es-ES"/>
        </w:rPr>
      </w:pPr>
      <w:r>
        <w:rPr>
          <w:noProof/>
          <w:lang w:eastAsia="es-MX"/>
        </w:rPr>
        <w:drawing>
          <wp:inline distT="0" distB="0" distL="0" distR="0" wp14:anchorId="181422E7" wp14:editId="47CDAD85">
            <wp:extent cx="3832177" cy="247318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415" t="2582" r="12066" b="2841"/>
                    <a:stretch/>
                  </pic:blipFill>
                  <pic:spPr bwMode="auto">
                    <a:xfrm>
                      <a:off x="0" y="0"/>
                      <a:ext cx="3838497" cy="2477267"/>
                    </a:xfrm>
                    <a:prstGeom prst="rect">
                      <a:avLst/>
                    </a:prstGeom>
                    <a:noFill/>
                    <a:ln>
                      <a:noFill/>
                    </a:ln>
                    <a:extLst>
                      <a:ext uri="{53640926-AAD7-44D8-BBD7-CCE9431645EC}">
                        <a14:shadowObscured xmlns:a14="http://schemas.microsoft.com/office/drawing/2010/main"/>
                      </a:ext>
                    </a:extLst>
                  </pic:spPr>
                </pic:pic>
              </a:graphicData>
            </a:graphic>
          </wp:inline>
        </w:drawing>
      </w:r>
    </w:p>
    <w:p w:rsidR="00412214" w:rsidRDefault="00412214"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rsidTr="00090637">
        <w:trPr>
          <w:trHeight w:val="340"/>
        </w:trPr>
        <w:tc>
          <w:tcPr>
            <w:tcW w:w="9910" w:type="dxa"/>
            <w:tcBorders>
              <w:top w:val="nil"/>
              <w:left w:val="nil"/>
              <w:bottom w:val="nil"/>
              <w:right w:val="nil"/>
            </w:tcBorders>
            <w:shd w:val="clear" w:color="auto" w:fill="F2F2F2" w:themeFill="background1" w:themeFillShade="F2"/>
            <w:vAlign w:val="center"/>
          </w:tcPr>
          <w:p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rsidR="00412214" w:rsidRDefault="00412214" w:rsidP="00412214">
      <w:pPr>
        <w:pStyle w:val="Prrafodelista"/>
        <w:numPr>
          <w:ilvl w:val="0"/>
          <w:numId w:val="2"/>
        </w:numPr>
        <w:spacing w:after="0" w:line="276" w:lineRule="auto"/>
        <w:jc w:val="both"/>
      </w:pPr>
      <w:r>
        <w:t>Realizar un diagnóstico que corresponda al instrumento de planeación vigente.</w:t>
      </w:r>
    </w:p>
    <w:p w:rsidR="00412214" w:rsidRDefault="00412214" w:rsidP="00412214">
      <w:pPr>
        <w:pStyle w:val="Prrafodelista"/>
        <w:numPr>
          <w:ilvl w:val="0"/>
          <w:numId w:val="2"/>
        </w:numPr>
        <w:spacing w:after="0" w:line="276" w:lineRule="auto"/>
        <w:jc w:val="both"/>
      </w:pPr>
      <w:r>
        <w:t>Acotar a las atribuciones conferidas a la Universidad de la policía del Estado de Sinaloa</w:t>
      </w:r>
    </w:p>
    <w:p w:rsidR="00412214" w:rsidRDefault="00412214" w:rsidP="00412214">
      <w:pPr>
        <w:pStyle w:val="Prrafodelista"/>
        <w:numPr>
          <w:ilvl w:val="0"/>
          <w:numId w:val="2"/>
        </w:numPr>
        <w:spacing w:after="0" w:line="276" w:lineRule="auto"/>
        <w:jc w:val="both"/>
      </w:pPr>
      <w:r>
        <w:t>Priorizar la alineación de causas y efectos.</w:t>
      </w:r>
    </w:p>
    <w:p w:rsidR="00412214" w:rsidRDefault="00412214" w:rsidP="00412214">
      <w:pPr>
        <w:pStyle w:val="Prrafodelista"/>
        <w:numPr>
          <w:ilvl w:val="0"/>
          <w:numId w:val="2"/>
        </w:numPr>
        <w:spacing w:after="0" w:line="276" w:lineRule="auto"/>
        <w:jc w:val="both"/>
      </w:pPr>
      <w:r>
        <w:t>Desarrollar una metodología para la definición de las poblaciones para asegurar la efectividad del programa presupuestario.</w:t>
      </w:r>
    </w:p>
    <w:p w:rsidR="00412214" w:rsidRDefault="00412214" w:rsidP="00412214">
      <w:pPr>
        <w:pStyle w:val="Prrafodelista"/>
        <w:numPr>
          <w:ilvl w:val="0"/>
          <w:numId w:val="2"/>
        </w:numPr>
        <w:spacing w:after="0" w:line="276" w:lineRule="auto"/>
        <w:jc w:val="both"/>
      </w:pPr>
      <w:r>
        <w:t>Analizar a profundidad y redefinir de los elementos población, componentes y actividades de la MIR.</w:t>
      </w:r>
    </w:p>
    <w:p w:rsidR="00412214" w:rsidRDefault="00412214" w:rsidP="00412214">
      <w:pPr>
        <w:pStyle w:val="Prrafodelista"/>
        <w:numPr>
          <w:ilvl w:val="0"/>
          <w:numId w:val="2"/>
        </w:numPr>
        <w:spacing w:after="0" w:line="276" w:lineRule="auto"/>
        <w:jc w:val="both"/>
      </w:pPr>
      <w:r>
        <w:lastRenderedPageBreak/>
        <w:t>Definir una metodología que delimitar de manera específica la población potencial y objetivo, en función de los objetivos del programa.</w:t>
      </w:r>
    </w:p>
    <w:p w:rsidR="00412214" w:rsidRDefault="00412214" w:rsidP="00412214">
      <w:pPr>
        <w:pStyle w:val="Prrafodelista"/>
        <w:numPr>
          <w:ilvl w:val="0"/>
          <w:numId w:val="2"/>
        </w:numPr>
        <w:spacing w:after="0" w:line="276" w:lineRule="auto"/>
        <w:jc w:val="both"/>
      </w:pPr>
      <w:r>
        <w:t>Actualizar su portal de internet, agregando las ligas a la PNT y Armonización Contable Sinaloa.</w:t>
      </w:r>
    </w:p>
    <w:p w:rsidR="00412214" w:rsidRDefault="00412214" w:rsidP="00412214">
      <w:pPr>
        <w:pStyle w:val="Prrafodelista"/>
        <w:numPr>
          <w:ilvl w:val="0"/>
          <w:numId w:val="2"/>
        </w:numPr>
        <w:spacing w:after="0" w:line="276" w:lineRule="auto"/>
        <w:jc w:val="both"/>
      </w:pPr>
      <w:r>
        <w:t>Generar y publicar información relevante en formato de datos abiertos.</w:t>
      </w:r>
    </w:p>
    <w:p w:rsidR="00412214" w:rsidRDefault="00412214" w:rsidP="00412214">
      <w:pPr>
        <w:pStyle w:val="Prrafodelista"/>
        <w:numPr>
          <w:ilvl w:val="0"/>
          <w:numId w:val="2"/>
        </w:numPr>
        <w:spacing w:after="0" w:line="276" w:lineRule="auto"/>
        <w:jc w:val="both"/>
      </w:pPr>
      <w:r>
        <w:t>Actualizar la alienación estratégica al Plan de Desarrollo y Programa Sectorial 2022 – 2027.</w:t>
      </w:r>
    </w:p>
    <w:p w:rsidR="00412214" w:rsidRDefault="00412214" w:rsidP="00412214">
      <w:pPr>
        <w:pStyle w:val="Prrafodelista"/>
        <w:numPr>
          <w:ilvl w:val="0"/>
          <w:numId w:val="2"/>
        </w:numPr>
        <w:spacing w:after="0" w:line="276" w:lineRule="auto"/>
        <w:jc w:val="both"/>
      </w:pPr>
      <w:r>
        <w:t>Realizar un rediseño integral de la Matriz de Indicadores de resultados, que considere las facultades de la Universidad, así como todos los servicios que esta ofrece.</w:t>
      </w:r>
    </w:p>
    <w:p w:rsidR="00412214" w:rsidRDefault="00412214" w:rsidP="00412214">
      <w:pPr>
        <w:pStyle w:val="Prrafodelista"/>
        <w:numPr>
          <w:ilvl w:val="0"/>
          <w:numId w:val="2"/>
        </w:numPr>
        <w:spacing w:after="0" w:line="276" w:lineRule="auto"/>
        <w:jc w:val="both"/>
      </w:pPr>
      <w:r>
        <w:t>Establecer medios de verificación que permitan monitorear los resultados del Pp.</w:t>
      </w:r>
    </w:p>
    <w:p w:rsidR="00412214" w:rsidRDefault="00412214" w:rsidP="00412214">
      <w:pPr>
        <w:pStyle w:val="Prrafodelista"/>
        <w:numPr>
          <w:ilvl w:val="0"/>
          <w:numId w:val="2"/>
        </w:numPr>
        <w:spacing w:after="0" w:line="276" w:lineRule="auto"/>
        <w:jc w:val="both"/>
      </w:pPr>
      <w:r>
        <w:t>Redefinir los indicadores que permitan medir de manera clara y eficiente los resultados del Pp.</w:t>
      </w:r>
    </w:p>
    <w:p w:rsidR="006E67EA" w:rsidRPr="006E67EA" w:rsidRDefault="00412214" w:rsidP="00412214">
      <w:pPr>
        <w:pStyle w:val="Prrafodelista"/>
        <w:numPr>
          <w:ilvl w:val="0"/>
          <w:numId w:val="2"/>
        </w:numPr>
        <w:spacing w:after="0" w:line="276" w:lineRule="auto"/>
        <w:jc w:val="both"/>
      </w:pPr>
      <w:r>
        <w:t>Documentar un método de cálculo que le dé certeza a las metas proyectadas</w:t>
      </w:r>
    </w:p>
    <w:p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rsidTr="002C2D3A">
        <w:trPr>
          <w:trHeight w:val="340"/>
        </w:trPr>
        <w:tc>
          <w:tcPr>
            <w:tcW w:w="9910" w:type="dxa"/>
            <w:tcBorders>
              <w:top w:val="nil"/>
              <w:left w:val="nil"/>
              <w:bottom w:val="nil"/>
              <w:right w:val="nil"/>
            </w:tcBorders>
            <w:shd w:val="clear" w:color="auto" w:fill="404040" w:themeFill="text1" w:themeFillTint="BF"/>
            <w:vAlign w:val="center"/>
          </w:tcPr>
          <w:p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Juan Diego Millán López</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Director de Evaluación</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Gobierno del Estado de Sinaloa</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t>Brenda Paola Torres González</w:t>
            </w:r>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020979" w:rsidP="006E538E">
            <w:pPr>
              <w:spacing w:after="0" w:line="276" w:lineRule="auto"/>
              <w:ind w:left="179"/>
            </w:pPr>
            <w:hyperlink r:id="rId9" w:history="1">
              <w:r w:rsidR="006E538E" w:rsidRPr="00F47975">
                <w:rPr>
                  <w:rStyle w:val="Hipervnculo"/>
                </w:rPr>
                <w:t>juan.millan@sinaloa.gob.mx</w:t>
              </w:r>
            </w:hyperlink>
          </w:p>
        </w:tc>
      </w:tr>
      <w:tr w:rsidR="006E538E" w:rsidRPr="006C747D" w:rsidTr="00090637">
        <w:trPr>
          <w:trHeight w:val="340"/>
        </w:trPr>
        <w:tc>
          <w:tcPr>
            <w:tcW w:w="9910" w:type="dxa"/>
            <w:tcBorders>
              <w:top w:val="nil"/>
              <w:left w:val="nil"/>
              <w:bottom w:val="nil"/>
              <w:right w:val="nil"/>
            </w:tcBorders>
            <w:shd w:val="clear" w:color="auto" w:fill="F2F2F2" w:themeFill="background1" w:themeFillShade="F2"/>
            <w:vAlign w:val="center"/>
          </w:tcPr>
          <w:p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rsidTr="00090637">
        <w:trPr>
          <w:trHeight w:val="340"/>
        </w:trPr>
        <w:tc>
          <w:tcPr>
            <w:tcW w:w="9910" w:type="dxa"/>
            <w:tcBorders>
              <w:top w:val="nil"/>
              <w:left w:val="nil"/>
              <w:bottom w:val="nil"/>
              <w:right w:val="nil"/>
            </w:tcBorders>
            <w:shd w:val="clear" w:color="auto" w:fill="auto"/>
            <w:vAlign w:val="center"/>
          </w:tcPr>
          <w:p w:rsidR="006E538E" w:rsidRPr="00133709" w:rsidRDefault="006E538E" w:rsidP="006E538E">
            <w:pPr>
              <w:spacing w:after="0" w:line="276" w:lineRule="auto"/>
              <w:ind w:left="179"/>
            </w:pPr>
            <w:r w:rsidRPr="007301C5">
              <w:t>(667)</w:t>
            </w:r>
            <w:r>
              <w:t xml:space="preserve"> 758 7000 Ext. 1493</w:t>
            </w:r>
          </w:p>
        </w:tc>
      </w:tr>
    </w:tbl>
    <w:p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rsidTr="002C2D3A">
        <w:trPr>
          <w:trHeight w:val="340"/>
        </w:trPr>
        <w:tc>
          <w:tcPr>
            <w:tcW w:w="9910" w:type="dxa"/>
            <w:gridSpan w:val="4"/>
            <w:shd w:val="clear" w:color="auto" w:fill="404040" w:themeFill="text1" w:themeFillTint="BF"/>
            <w:vAlign w:val="center"/>
          </w:tcPr>
          <w:p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rsidTr="00090637">
        <w:trPr>
          <w:trHeight w:val="340"/>
        </w:trPr>
        <w:tc>
          <w:tcPr>
            <w:tcW w:w="9910" w:type="dxa"/>
            <w:gridSpan w:val="4"/>
            <w:shd w:val="clear" w:color="auto" w:fill="F2F2F2" w:themeFill="background1" w:themeFillShade="F2"/>
            <w:vAlign w:val="center"/>
          </w:tcPr>
          <w:p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rsidTr="00090637">
        <w:trPr>
          <w:trHeight w:val="340"/>
        </w:trPr>
        <w:tc>
          <w:tcPr>
            <w:tcW w:w="9910" w:type="dxa"/>
            <w:gridSpan w:val="4"/>
            <w:shd w:val="clear" w:color="auto" w:fill="auto"/>
            <w:vAlign w:val="center"/>
          </w:tcPr>
          <w:p w:rsidR="007C4CD6" w:rsidRPr="00521401" w:rsidRDefault="00412214" w:rsidP="00521401">
            <w:pPr>
              <w:spacing w:after="0" w:line="276" w:lineRule="auto"/>
              <w:ind w:left="179"/>
            </w:pPr>
            <w:r w:rsidRPr="00412214">
              <w:t>Fortalecimiento Institucional y Capacitación para la Seguridad Pública</w:t>
            </w:r>
          </w:p>
        </w:tc>
      </w:tr>
      <w:tr w:rsidR="007C4CD6" w:rsidRPr="007C4CD6" w:rsidTr="00090637">
        <w:trPr>
          <w:trHeight w:val="340"/>
        </w:trPr>
        <w:tc>
          <w:tcPr>
            <w:tcW w:w="9910" w:type="dxa"/>
            <w:gridSpan w:val="4"/>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rsidTr="00EA460E">
        <w:trPr>
          <w:trHeight w:val="340"/>
        </w:trPr>
        <w:tc>
          <w:tcPr>
            <w:tcW w:w="9910" w:type="dxa"/>
            <w:gridSpan w:val="4"/>
            <w:shd w:val="clear" w:color="auto" w:fill="auto"/>
            <w:vAlign w:val="center"/>
          </w:tcPr>
          <w:p w:rsidR="007C4CD6" w:rsidRPr="007C4CD6" w:rsidRDefault="00412214" w:rsidP="00521401">
            <w:pPr>
              <w:spacing w:after="0" w:line="276" w:lineRule="auto"/>
              <w:ind w:left="179"/>
            </w:pPr>
            <w:r>
              <w:t>FICSP</w:t>
            </w:r>
          </w:p>
        </w:tc>
      </w:tr>
      <w:tr w:rsidR="007C4CD6" w:rsidRPr="007C4CD6" w:rsidTr="00090637">
        <w:trPr>
          <w:trHeight w:val="340"/>
        </w:trPr>
        <w:tc>
          <w:tcPr>
            <w:tcW w:w="9910" w:type="dxa"/>
            <w:gridSpan w:val="4"/>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rsidTr="0008479E">
        <w:trPr>
          <w:trHeight w:val="340"/>
        </w:trPr>
        <w:tc>
          <w:tcPr>
            <w:tcW w:w="9910" w:type="dxa"/>
            <w:gridSpan w:val="4"/>
            <w:shd w:val="clear" w:color="auto" w:fill="auto"/>
            <w:vAlign w:val="center"/>
          </w:tcPr>
          <w:p w:rsidR="007C4CD6" w:rsidRPr="007C4CD6" w:rsidRDefault="00412214" w:rsidP="00521401">
            <w:pPr>
              <w:spacing w:after="0" w:line="276" w:lineRule="auto"/>
              <w:ind w:left="179"/>
            </w:pPr>
            <w:r w:rsidRPr="00412214">
              <w:t>Universidad de la Policía del Estado de Sinaloa (UNIPOL)</w:t>
            </w:r>
          </w:p>
        </w:tc>
      </w:tr>
      <w:tr w:rsidR="007C4CD6" w:rsidRPr="007C4CD6" w:rsidTr="00090637">
        <w:trPr>
          <w:trHeight w:val="340"/>
        </w:trPr>
        <w:tc>
          <w:tcPr>
            <w:tcW w:w="9910" w:type="dxa"/>
            <w:gridSpan w:val="4"/>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rsidTr="00090637">
        <w:trPr>
          <w:trHeight w:val="340"/>
        </w:trPr>
        <w:tc>
          <w:tcPr>
            <w:tcW w:w="2405"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rsidR="005A28B9" w:rsidRPr="005A28B9" w:rsidRDefault="005A28B9" w:rsidP="00090637">
            <w:pPr>
              <w:spacing w:after="0" w:line="276" w:lineRule="auto"/>
              <w:jc w:val="center"/>
              <w:rPr>
                <w:b/>
                <w:bCs/>
              </w:rPr>
            </w:pPr>
            <w:r w:rsidRPr="005A28B9">
              <w:rPr>
                <w:b/>
                <w:bCs/>
              </w:rPr>
              <w:t>Ente Autónomo:</w:t>
            </w:r>
          </w:p>
        </w:tc>
      </w:tr>
      <w:tr w:rsidR="005A28B9" w:rsidTr="00EA460E">
        <w:trPr>
          <w:trHeight w:val="340"/>
        </w:trPr>
        <w:tc>
          <w:tcPr>
            <w:tcW w:w="2405" w:type="dxa"/>
            <w:shd w:val="clear" w:color="auto" w:fill="auto"/>
            <w:vAlign w:val="center"/>
          </w:tcPr>
          <w:p w:rsidR="005A28B9" w:rsidRPr="00A16BE7" w:rsidRDefault="00412214" w:rsidP="00090637">
            <w:pPr>
              <w:spacing w:after="0" w:line="276" w:lineRule="auto"/>
              <w:jc w:val="center"/>
            </w:pPr>
            <w:r>
              <w:t>X</w:t>
            </w:r>
          </w:p>
        </w:tc>
        <w:tc>
          <w:tcPr>
            <w:tcW w:w="2410" w:type="dxa"/>
            <w:shd w:val="clear" w:color="auto" w:fill="auto"/>
            <w:vAlign w:val="center"/>
          </w:tcPr>
          <w:p w:rsidR="005A28B9" w:rsidRPr="00A16BE7" w:rsidRDefault="005A28B9" w:rsidP="00090637">
            <w:pPr>
              <w:spacing w:after="0" w:line="276" w:lineRule="auto"/>
              <w:jc w:val="center"/>
            </w:pPr>
          </w:p>
        </w:tc>
        <w:tc>
          <w:tcPr>
            <w:tcW w:w="2551" w:type="dxa"/>
            <w:shd w:val="clear" w:color="auto" w:fill="auto"/>
            <w:vAlign w:val="center"/>
          </w:tcPr>
          <w:p w:rsidR="005A28B9" w:rsidRPr="00A16BE7" w:rsidRDefault="005A28B9" w:rsidP="00090637">
            <w:pPr>
              <w:spacing w:after="0" w:line="276" w:lineRule="auto"/>
              <w:jc w:val="center"/>
            </w:pPr>
          </w:p>
        </w:tc>
        <w:tc>
          <w:tcPr>
            <w:tcW w:w="2544" w:type="dxa"/>
            <w:shd w:val="clear" w:color="auto" w:fill="auto"/>
            <w:vAlign w:val="center"/>
          </w:tcPr>
          <w:p w:rsidR="005A28B9" w:rsidRPr="00A16BE7" w:rsidRDefault="005A28B9" w:rsidP="00090637">
            <w:pPr>
              <w:spacing w:after="0" w:line="276" w:lineRule="auto"/>
              <w:jc w:val="center"/>
            </w:pPr>
          </w:p>
        </w:tc>
      </w:tr>
    </w:tbl>
    <w:p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rsidTr="00090637">
        <w:trPr>
          <w:trHeight w:val="340"/>
        </w:trPr>
        <w:tc>
          <w:tcPr>
            <w:tcW w:w="9910" w:type="dxa"/>
            <w:gridSpan w:val="3"/>
            <w:shd w:val="clear" w:color="auto" w:fill="F2F2F2" w:themeFill="background1" w:themeFillShade="F2"/>
            <w:vAlign w:val="center"/>
          </w:tcPr>
          <w:p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rsidTr="00090637">
        <w:trPr>
          <w:trHeight w:val="340"/>
        </w:trPr>
        <w:tc>
          <w:tcPr>
            <w:tcW w:w="3256" w:type="dxa"/>
            <w:shd w:val="clear" w:color="auto" w:fill="F2F2F2" w:themeFill="background1" w:themeFillShade="F2"/>
            <w:vAlign w:val="center"/>
          </w:tcPr>
          <w:p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rsidR="005A28B9" w:rsidRPr="005A28B9" w:rsidRDefault="005A28B9" w:rsidP="00287214">
            <w:pPr>
              <w:spacing w:after="0" w:line="276" w:lineRule="auto"/>
              <w:jc w:val="center"/>
              <w:rPr>
                <w:b/>
                <w:bCs/>
              </w:rPr>
            </w:pPr>
            <w:r w:rsidRPr="005A28B9">
              <w:rPr>
                <w:b/>
                <w:bCs/>
              </w:rPr>
              <w:t>Local:</w:t>
            </w:r>
          </w:p>
        </w:tc>
      </w:tr>
      <w:tr w:rsidR="00090637" w:rsidRPr="005A28B9" w:rsidTr="003F7BA0">
        <w:trPr>
          <w:trHeight w:val="340"/>
        </w:trPr>
        <w:tc>
          <w:tcPr>
            <w:tcW w:w="3256" w:type="dxa"/>
            <w:shd w:val="clear" w:color="auto" w:fill="FFFFFF" w:themeFill="background1"/>
            <w:vAlign w:val="center"/>
          </w:tcPr>
          <w:p w:rsidR="00090637" w:rsidRPr="00D913D9" w:rsidRDefault="00090637" w:rsidP="00287214">
            <w:pPr>
              <w:spacing w:after="0" w:line="276" w:lineRule="auto"/>
              <w:jc w:val="center"/>
              <w:rPr>
                <w:bCs/>
              </w:rPr>
            </w:pPr>
          </w:p>
        </w:tc>
        <w:tc>
          <w:tcPr>
            <w:tcW w:w="3402" w:type="dxa"/>
            <w:shd w:val="clear" w:color="auto" w:fill="FFFFFF" w:themeFill="background1"/>
            <w:vAlign w:val="center"/>
          </w:tcPr>
          <w:p w:rsidR="00090637" w:rsidRPr="00090637" w:rsidRDefault="003F7BA0" w:rsidP="00287214">
            <w:pPr>
              <w:spacing w:after="0" w:line="276" w:lineRule="auto"/>
              <w:jc w:val="center"/>
            </w:pPr>
            <w:r w:rsidRPr="003F7BA0">
              <w:t>X</w:t>
            </w:r>
          </w:p>
        </w:tc>
        <w:tc>
          <w:tcPr>
            <w:tcW w:w="3252" w:type="dxa"/>
            <w:shd w:val="clear" w:color="auto" w:fill="FFFFFF" w:themeFill="background1"/>
            <w:vAlign w:val="center"/>
          </w:tcPr>
          <w:p w:rsidR="00090637" w:rsidRPr="005A28B9" w:rsidRDefault="00090637" w:rsidP="00287214">
            <w:pPr>
              <w:spacing w:after="0" w:line="276" w:lineRule="auto"/>
              <w:jc w:val="center"/>
              <w:rPr>
                <w:b/>
                <w:bCs/>
              </w:rPr>
            </w:pPr>
          </w:p>
        </w:tc>
      </w:tr>
      <w:tr w:rsidR="007C4CD6" w:rsidRPr="005A28B9" w:rsidTr="00090637">
        <w:trPr>
          <w:trHeight w:val="706"/>
        </w:trPr>
        <w:tc>
          <w:tcPr>
            <w:tcW w:w="9910" w:type="dxa"/>
            <w:gridSpan w:val="3"/>
            <w:shd w:val="clear" w:color="auto" w:fill="F2F2F2" w:themeFill="background1" w:themeFillShade="F2"/>
            <w:vAlign w:val="center"/>
          </w:tcPr>
          <w:p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lastRenderedPageBreak/>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rsidTr="00090637">
        <w:trPr>
          <w:trHeight w:val="340"/>
        </w:trPr>
        <w:tc>
          <w:tcPr>
            <w:tcW w:w="9910" w:type="dxa"/>
            <w:gridSpan w:val="3"/>
            <w:shd w:val="clear" w:color="auto" w:fill="F2F2F2" w:themeFill="background1" w:themeFillShade="F2"/>
            <w:vAlign w:val="center"/>
          </w:tcPr>
          <w:p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rsidTr="00235013">
        <w:trPr>
          <w:trHeight w:val="340"/>
        </w:trPr>
        <w:tc>
          <w:tcPr>
            <w:tcW w:w="9910" w:type="dxa"/>
            <w:gridSpan w:val="3"/>
            <w:shd w:val="clear" w:color="auto" w:fill="auto"/>
          </w:tcPr>
          <w:p w:rsidR="005065B9" w:rsidRPr="00235013" w:rsidRDefault="00235013" w:rsidP="005065B9">
            <w:pPr>
              <w:spacing w:after="0" w:line="276" w:lineRule="auto"/>
              <w:ind w:left="179"/>
            </w:pPr>
            <w:r w:rsidRPr="00235013">
              <w:t>Alexander Leonel Aguilar Aguilar</w:t>
            </w:r>
          </w:p>
        </w:tc>
      </w:tr>
      <w:tr w:rsidR="00925C75" w:rsidRPr="00A753A2" w:rsidTr="00090637">
        <w:trPr>
          <w:trHeight w:val="340"/>
        </w:trPr>
        <w:tc>
          <w:tcPr>
            <w:tcW w:w="9910" w:type="dxa"/>
            <w:gridSpan w:val="3"/>
            <w:shd w:val="clear" w:color="auto" w:fill="F2F2F2" w:themeFill="background1" w:themeFillShade="F2"/>
            <w:vAlign w:val="center"/>
          </w:tcPr>
          <w:p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rsidTr="00235013">
        <w:trPr>
          <w:trHeight w:val="340"/>
        </w:trPr>
        <w:tc>
          <w:tcPr>
            <w:tcW w:w="9910" w:type="dxa"/>
            <w:gridSpan w:val="3"/>
            <w:shd w:val="clear" w:color="auto" w:fill="auto"/>
          </w:tcPr>
          <w:p w:rsidR="00A4624B" w:rsidRPr="007301C5" w:rsidRDefault="00020979" w:rsidP="00020979">
            <w:pPr>
              <w:spacing w:after="0" w:line="276" w:lineRule="auto"/>
              <w:ind w:left="179"/>
            </w:pPr>
            <w:hyperlink r:id="rId10" w:history="1">
              <w:r w:rsidRPr="00AE758A">
                <w:rPr>
                  <w:rStyle w:val="Hipervnculo"/>
                </w:rPr>
                <w:t>directorescolares@unipolsinaloa.edu.mx</w:t>
              </w:r>
            </w:hyperlink>
          </w:p>
        </w:tc>
      </w:tr>
      <w:tr w:rsidR="00A753A2" w:rsidRPr="00A753A2" w:rsidTr="00090637">
        <w:trPr>
          <w:trHeight w:val="340"/>
        </w:trPr>
        <w:tc>
          <w:tcPr>
            <w:tcW w:w="9910" w:type="dxa"/>
            <w:gridSpan w:val="3"/>
            <w:shd w:val="clear" w:color="auto" w:fill="F2F2F2" w:themeFill="background1" w:themeFillShade="F2"/>
            <w:vAlign w:val="center"/>
          </w:tcPr>
          <w:p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rsidTr="00235013">
        <w:trPr>
          <w:trHeight w:val="340"/>
        </w:trPr>
        <w:tc>
          <w:tcPr>
            <w:tcW w:w="9910" w:type="dxa"/>
            <w:gridSpan w:val="3"/>
            <w:shd w:val="clear" w:color="auto" w:fill="auto"/>
            <w:vAlign w:val="center"/>
          </w:tcPr>
          <w:p w:rsidR="004E1FF7" w:rsidRPr="007301C5" w:rsidRDefault="00235013" w:rsidP="004E1FF7">
            <w:pPr>
              <w:spacing w:after="0" w:line="276" w:lineRule="auto"/>
              <w:ind w:left="179"/>
            </w:pPr>
            <w:r>
              <w:t>Universidad de la Policía del Estado de Sinaloa</w:t>
            </w:r>
          </w:p>
        </w:tc>
      </w:tr>
      <w:tr w:rsidR="004E1FF7" w:rsidRPr="00A753A2" w:rsidTr="00090637">
        <w:trPr>
          <w:trHeight w:val="340"/>
        </w:trPr>
        <w:tc>
          <w:tcPr>
            <w:tcW w:w="9910" w:type="dxa"/>
            <w:gridSpan w:val="3"/>
            <w:shd w:val="clear" w:color="auto" w:fill="F2F2F2" w:themeFill="background1" w:themeFillShade="F2"/>
            <w:vAlign w:val="center"/>
          </w:tcPr>
          <w:p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rsidTr="00235013">
        <w:trPr>
          <w:trHeight w:val="340"/>
        </w:trPr>
        <w:tc>
          <w:tcPr>
            <w:tcW w:w="9910" w:type="dxa"/>
            <w:gridSpan w:val="3"/>
            <w:shd w:val="clear" w:color="auto" w:fill="auto"/>
          </w:tcPr>
          <w:p w:rsidR="004E1FF7" w:rsidRPr="007301C5" w:rsidRDefault="00235013" w:rsidP="00020979">
            <w:pPr>
              <w:spacing w:after="0" w:line="276" w:lineRule="auto"/>
              <w:ind w:left="179"/>
            </w:pPr>
            <w:r w:rsidRPr="00235013">
              <w:t>(667) 760</w:t>
            </w:r>
            <w:r w:rsidR="00020979">
              <w:t xml:space="preserve"> </w:t>
            </w:r>
            <w:r w:rsidRPr="00235013">
              <w:t>00</w:t>
            </w:r>
            <w:r w:rsidR="00020979">
              <w:t xml:space="preserve"> </w:t>
            </w:r>
            <w:r w:rsidRPr="00235013">
              <w:t xml:space="preserve">06 y </w:t>
            </w:r>
            <w:r w:rsidR="00020979">
              <w:t>e</w:t>
            </w:r>
            <w:r w:rsidRPr="00235013">
              <w:t>xt. IP: 16664</w:t>
            </w:r>
          </w:p>
        </w:tc>
      </w:tr>
    </w:tbl>
    <w:p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rsidTr="002C2D3A">
        <w:trPr>
          <w:trHeight w:val="340"/>
        </w:trPr>
        <w:tc>
          <w:tcPr>
            <w:tcW w:w="9910" w:type="dxa"/>
            <w:gridSpan w:val="4"/>
            <w:shd w:val="clear" w:color="auto" w:fill="404040" w:themeFill="text1" w:themeFillTint="BF"/>
            <w:vAlign w:val="center"/>
          </w:tcPr>
          <w:p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rsidTr="00C61D21">
        <w:trPr>
          <w:trHeight w:val="340"/>
        </w:trPr>
        <w:tc>
          <w:tcPr>
            <w:tcW w:w="9910" w:type="dxa"/>
            <w:gridSpan w:val="4"/>
            <w:shd w:val="clear" w:color="auto" w:fill="F2F2F2" w:themeFill="background1" w:themeFillShade="F2"/>
            <w:vAlign w:val="center"/>
          </w:tcPr>
          <w:p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rsidTr="00D913D9">
        <w:trPr>
          <w:trHeight w:val="340"/>
        </w:trPr>
        <w:tc>
          <w:tcPr>
            <w:tcW w:w="3261" w:type="dxa"/>
            <w:shd w:val="clear" w:color="auto" w:fill="F2F2F2" w:themeFill="background1" w:themeFillShade="F2"/>
            <w:vAlign w:val="center"/>
          </w:tcPr>
          <w:p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rsidR="00A06CEF" w:rsidRPr="00866990" w:rsidRDefault="00A06CEF" w:rsidP="00A06CEF">
            <w:pPr>
              <w:spacing w:after="0" w:line="276" w:lineRule="auto"/>
              <w:jc w:val="center"/>
            </w:pPr>
            <w:bookmarkStart w:id="0" w:name="_GoBack"/>
            <w:bookmarkEnd w:id="0"/>
          </w:p>
        </w:tc>
        <w:tc>
          <w:tcPr>
            <w:tcW w:w="3402" w:type="dxa"/>
            <w:shd w:val="clear" w:color="auto" w:fill="F2F2F2" w:themeFill="background1" w:themeFillShade="F2"/>
            <w:vAlign w:val="center"/>
          </w:tcPr>
          <w:p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rsidR="00A06CEF" w:rsidRPr="00866990" w:rsidRDefault="00A06CEF" w:rsidP="00A06CEF">
            <w:pPr>
              <w:spacing w:after="0" w:line="276" w:lineRule="auto"/>
              <w:jc w:val="center"/>
            </w:pPr>
          </w:p>
        </w:tc>
      </w:tr>
      <w:tr w:rsidR="00A06CEF" w:rsidRPr="00A06CEF" w:rsidTr="00D913D9">
        <w:trPr>
          <w:trHeight w:val="340"/>
        </w:trPr>
        <w:tc>
          <w:tcPr>
            <w:tcW w:w="3261" w:type="dxa"/>
            <w:shd w:val="clear" w:color="auto" w:fill="F2F2F2" w:themeFill="background1" w:themeFillShade="F2"/>
            <w:vAlign w:val="center"/>
          </w:tcPr>
          <w:p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rsidR="00A06CEF" w:rsidRPr="00866990" w:rsidRDefault="00A06CEF" w:rsidP="00A06CEF">
            <w:pPr>
              <w:spacing w:after="0" w:line="276" w:lineRule="auto"/>
              <w:jc w:val="center"/>
            </w:pPr>
          </w:p>
        </w:tc>
      </w:tr>
      <w:tr w:rsidR="00412214" w:rsidRPr="006C747D" w:rsidTr="00133709">
        <w:trPr>
          <w:trHeight w:val="340"/>
        </w:trPr>
        <w:tc>
          <w:tcPr>
            <w:tcW w:w="3261" w:type="dxa"/>
            <w:shd w:val="clear" w:color="auto" w:fill="F2F2F2" w:themeFill="background1" w:themeFillShade="F2"/>
            <w:vAlign w:val="center"/>
          </w:tcPr>
          <w:p w:rsidR="00412214" w:rsidRPr="00866990" w:rsidRDefault="00412214" w:rsidP="00412214">
            <w:pPr>
              <w:spacing w:after="0" w:line="276" w:lineRule="auto"/>
              <w:ind w:left="447"/>
              <w:rPr>
                <w:b/>
                <w:bCs/>
              </w:rPr>
            </w:pPr>
            <w:r w:rsidRPr="00866990">
              <w:rPr>
                <w:b/>
                <w:bCs/>
              </w:rPr>
              <w:t>Otro (especificar):</w:t>
            </w:r>
          </w:p>
        </w:tc>
        <w:tc>
          <w:tcPr>
            <w:tcW w:w="6649" w:type="dxa"/>
            <w:gridSpan w:val="3"/>
            <w:shd w:val="clear" w:color="auto" w:fill="auto"/>
            <w:vAlign w:val="center"/>
          </w:tcPr>
          <w:p w:rsidR="00412214" w:rsidRPr="00866990" w:rsidRDefault="00412214" w:rsidP="00412214">
            <w:pPr>
              <w:spacing w:after="0" w:line="276" w:lineRule="auto"/>
            </w:pPr>
            <w:r>
              <w:t>No aplica</w:t>
            </w:r>
          </w:p>
        </w:tc>
      </w:tr>
      <w:tr w:rsidR="00090637" w:rsidRPr="006C747D" w:rsidTr="00C61D21">
        <w:trPr>
          <w:trHeight w:val="340"/>
        </w:trPr>
        <w:tc>
          <w:tcPr>
            <w:tcW w:w="9910" w:type="dxa"/>
            <w:gridSpan w:val="4"/>
            <w:shd w:val="clear" w:color="auto" w:fill="F2F2F2" w:themeFill="background1" w:themeFillShade="F2"/>
            <w:vAlign w:val="center"/>
          </w:tcPr>
          <w:p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rsidTr="00C61D21">
        <w:trPr>
          <w:trHeight w:val="340"/>
        </w:trPr>
        <w:tc>
          <w:tcPr>
            <w:tcW w:w="9910" w:type="dxa"/>
            <w:gridSpan w:val="4"/>
            <w:shd w:val="clear" w:color="auto" w:fill="auto"/>
            <w:vAlign w:val="center"/>
          </w:tcPr>
          <w:p w:rsidR="00090637" w:rsidRPr="00866990" w:rsidRDefault="00412214" w:rsidP="003F7BA0">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rsidTr="00C61D21">
        <w:trPr>
          <w:trHeight w:val="340"/>
        </w:trPr>
        <w:tc>
          <w:tcPr>
            <w:tcW w:w="9910" w:type="dxa"/>
            <w:gridSpan w:val="4"/>
            <w:shd w:val="clear" w:color="auto" w:fill="F2F2F2" w:themeFill="background1" w:themeFillShade="F2"/>
            <w:vAlign w:val="center"/>
          </w:tcPr>
          <w:p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rsidTr="00C61D21">
        <w:trPr>
          <w:trHeight w:val="340"/>
        </w:trPr>
        <w:tc>
          <w:tcPr>
            <w:tcW w:w="9910" w:type="dxa"/>
            <w:gridSpan w:val="4"/>
            <w:shd w:val="clear" w:color="auto" w:fill="auto"/>
            <w:vAlign w:val="center"/>
          </w:tcPr>
          <w:p w:rsidR="00090637" w:rsidRPr="00866990" w:rsidRDefault="00412214" w:rsidP="003F7BA0">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rsidTr="00C61D21">
        <w:trPr>
          <w:trHeight w:val="340"/>
        </w:trPr>
        <w:tc>
          <w:tcPr>
            <w:tcW w:w="9910" w:type="dxa"/>
            <w:gridSpan w:val="4"/>
            <w:shd w:val="clear" w:color="auto" w:fill="F2F2F2" w:themeFill="background1" w:themeFillShade="F2"/>
            <w:vAlign w:val="center"/>
          </w:tcPr>
          <w:p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rsidTr="004C435E">
        <w:trPr>
          <w:trHeight w:val="340"/>
        </w:trPr>
        <w:tc>
          <w:tcPr>
            <w:tcW w:w="9910" w:type="dxa"/>
            <w:gridSpan w:val="4"/>
            <w:shd w:val="clear" w:color="auto" w:fill="auto"/>
            <w:vAlign w:val="center"/>
          </w:tcPr>
          <w:p w:rsidR="004C435E" w:rsidRPr="00866990" w:rsidRDefault="00412214" w:rsidP="004C435E">
            <w:pPr>
              <w:spacing w:after="0" w:line="276" w:lineRule="auto"/>
              <w:ind w:left="179"/>
            </w:pPr>
            <w:r w:rsidRPr="00E02DCC">
              <w:t>Recurso estatal</w:t>
            </w:r>
          </w:p>
        </w:tc>
      </w:tr>
    </w:tbl>
    <w:p w:rsidR="002C2D3A" w:rsidRDefault="002C2D3A"/>
    <w:tbl>
      <w:tblPr>
        <w:tblStyle w:val="Tablaconcuadrcula"/>
        <w:tblW w:w="0" w:type="auto"/>
        <w:tblLook w:val="04A0" w:firstRow="1" w:lastRow="0" w:firstColumn="1" w:lastColumn="0" w:noHBand="0" w:noVBand="1"/>
      </w:tblPr>
      <w:tblGrid>
        <w:gridCol w:w="9910"/>
      </w:tblGrid>
      <w:tr w:rsidR="002C2D3A" w:rsidRPr="002C2D3A" w:rsidTr="002C2D3A">
        <w:trPr>
          <w:trHeight w:val="340"/>
        </w:trPr>
        <w:tc>
          <w:tcPr>
            <w:tcW w:w="9910" w:type="dxa"/>
            <w:tcBorders>
              <w:top w:val="nil"/>
              <w:left w:val="nil"/>
              <w:bottom w:val="nil"/>
              <w:right w:val="nil"/>
            </w:tcBorders>
            <w:shd w:val="clear" w:color="auto" w:fill="404040" w:themeFill="text1" w:themeFillTint="BF"/>
            <w:vAlign w:val="center"/>
          </w:tcPr>
          <w:p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rsidTr="0079430F">
        <w:trPr>
          <w:trHeight w:val="340"/>
        </w:trPr>
        <w:tc>
          <w:tcPr>
            <w:tcW w:w="9910" w:type="dxa"/>
            <w:tcBorders>
              <w:top w:val="nil"/>
              <w:left w:val="nil"/>
              <w:bottom w:val="nil"/>
              <w:right w:val="nil"/>
            </w:tcBorders>
            <w:shd w:val="clear" w:color="auto" w:fill="F2F2F2" w:themeFill="background1" w:themeFillShade="F2"/>
            <w:vAlign w:val="center"/>
          </w:tcPr>
          <w:p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rsidTr="0079430F">
        <w:trPr>
          <w:trHeight w:val="340"/>
        </w:trPr>
        <w:tc>
          <w:tcPr>
            <w:tcW w:w="9910" w:type="dxa"/>
            <w:tcBorders>
              <w:top w:val="nil"/>
              <w:left w:val="nil"/>
              <w:bottom w:val="nil"/>
              <w:right w:val="nil"/>
            </w:tcBorders>
            <w:shd w:val="clear" w:color="auto" w:fill="auto"/>
            <w:vAlign w:val="center"/>
          </w:tcPr>
          <w:p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rsidTr="0079430F">
        <w:trPr>
          <w:trHeight w:val="340"/>
        </w:trPr>
        <w:tc>
          <w:tcPr>
            <w:tcW w:w="9910" w:type="dxa"/>
            <w:tcBorders>
              <w:top w:val="nil"/>
              <w:left w:val="nil"/>
              <w:bottom w:val="nil"/>
              <w:right w:val="nil"/>
            </w:tcBorders>
            <w:shd w:val="clear" w:color="auto" w:fill="F2F2F2" w:themeFill="background1" w:themeFillShade="F2"/>
            <w:vAlign w:val="center"/>
          </w:tcPr>
          <w:p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rsidTr="0079430F">
        <w:trPr>
          <w:trHeight w:val="340"/>
        </w:trPr>
        <w:tc>
          <w:tcPr>
            <w:tcW w:w="9910" w:type="dxa"/>
            <w:tcBorders>
              <w:top w:val="nil"/>
              <w:left w:val="nil"/>
              <w:bottom w:val="nil"/>
              <w:right w:val="nil"/>
            </w:tcBorders>
            <w:shd w:val="clear" w:color="auto" w:fill="auto"/>
            <w:vAlign w:val="center"/>
          </w:tcPr>
          <w:p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CBB" w:rsidRDefault="00660CBB" w:rsidP="008E5209">
      <w:pPr>
        <w:spacing w:after="0" w:line="240" w:lineRule="auto"/>
      </w:pPr>
      <w:r>
        <w:separator/>
      </w:r>
    </w:p>
  </w:endnote>
  <w:endnote w:type="continuationSeparator" w:id="0">
    <w:p w:rsidR="00660CBB" w:rsidRDefault="00660CB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20979">
          <w:rPr>
            <w:b/>
            <w:bCs/>
            <w:noProof/>
            <w:sz w:val="18"/>
            <w:szCs w:val="18"/>
          </w:rPr>
          <w:t>2</w:t>
        </w:r>
        <w:r w:rsidRPr="00226E1B">
          <w:rPr>
            <w:b/>
            <w:bCs/>
            <w:sz w:val="18"/>
            <w:szCs w:val="18"/>
          </w:rPr>
          <w:fldChar w:fldCharType="end"/>
        </w:r>
      </w:p>
    </w:sdtContent>
  </w:sdt>
  <w:p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20979" w:rsidRPr="00020979">
          <w:rPr>
            <w:b/>
            <w:bCs/>
            <w:noProof/>
            <w:sz w:val="18"/>
            <w:szCs w:val="18"/>
            <w:lang w:val="es-ES"/>
          </w:rPr>
          <w:t>1</w:t>
        </w:r>
        <w:r w:rsidRPr="00226E1B">
          <w:rPr>
            <w:b/>
            <w:bCs/>
            <w:sz w:val="18"/>
            <w:szCs w:val="18"/>
          </w:rPr>
          <w:fldChar w:fldCharType="end"/>
        </w:r>
      </w:p>
    </w:sdtContent>
  </w:sdt>
  <w:p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CBB" w:rsidRDefault="00660CBB" w:rsidP="008E5209">
      <w:pPr>
        <w:spacing w:after="0" w:line="240" w:lineRule="auto"/>
      </w:pPr>
      <w:r>
        <w:separator/>
      </w:r>
    </w:p>
  </w:footnote>
  <w:footnote w:type="continuationSeparator" w:id="0">
    <w:p w:rsidR="00660CBB" w:rsidRDefault="00660CB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BC"/>
    <w:rsid w:val="00003D1B"/>
    <w:rsid w:val="0001033D"/>
    <w:rsid w:val="000118B1"/>
    <w:rsid w:val="000134A5"/>
    <w:rsid w:val="00017F38"/>
    <w:rsid w:val="00020979"/>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25631"/>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06A2"/>
    <w:rsid w:val="00220E64"/>
    <w:rsid w:val="00226E1B"/>
    <w:rsid w:val="002272AA"/>
    <w:rsid w:val="00230930"/>
    <w:rsid w:val="002312DF"/>
    <w:rsid w:val="00233D0F"/>
    <w:rsid w:val="00235013"/>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073FF"/>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3F7BA0"/>
    <w:rsid w:val="00412214"/>
    <w:rsid w:val="00413C04"/>
    <w:rsid w:val="0041452B"/>
    <w:rsid w:val="004149ED"/>
    <w:rsid w:val="00416CC1"/>
    <w:rsid w:val="00425911"/>
    <w:rsid w:val="00431E65"/>
    <w:rsid w:val="004327A3"/>
    <w:rsid w:val="0044695A"/>
    <w:rsid w:val="004512E5"/>
    <w:rsid w:val="004620A0"/>
    <w:rsid w:val="0047656A"/>
    <w:rsid w:val="00480476"/>
    <w:rsid w:val="004854E5"/>
    <w:rsid w:val="004874A7"/>
    <w:rsid w:val="0049271E"/>
    <w:rsid w:val="00495144"/>
    <w:rsid w:val="004A055F"/>
    <w:rsid w:val="004A30A1"/>
    <w:rsid w:val="004A7416"/>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A7F47"/>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09F2"/>
    <w:rsid w:val="00660CBB"/>
    <w:rsid w:val="0066230E"/>
    <w:rsid w:val="00663E64"/>
    <w:rsid w:val="00666BE5"/>
    <w:rsid w:val="00671A91"/>
    <w:rsid w:val="00672D5B"/>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135C"/>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8526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4427"/>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B7B13"/>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653C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 w:val="00FF2C2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4942"/>
  <w15:docId w15:val="{0D2A29C8-ADC4-4D9C-9774-558CD053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ectorescolares@unipolsinaloa.edu.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8B3C-4532-445E-B474-99A2E59A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42</TotalTime>
  <Pages>6</Pages>
  <Words>2004</Words>
  <Characters>11025</Characters>
  <Application>Microsoft Office Word</Application>
  <DocSecurity>0</DocSecurity>
  <Lines>91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5</cp:revision>
  <cp:lastPrinted>2022-06-17T19:35:00Z</cp:lastPrinted>
  <dcterms:created xsi:type="dcterms:W3CDTF">2024-08-26T18:56:00Z</dcterms:created>
  <dcterms:modified xsi:type="dcterms:W3CDTF">2024-08-27T18:20:00Z</dcterms:modified>
</cp:coreProperties>
</file>